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591E" w14:textId="1C8BD4C2" w:rsidR="00B9428D" w:rsidRPr="008643A1" w:rsidRDefault="00FF25E1" w:rsidP="00B9428D">
      <w:pPr>
        <w:jc w:val="right"/>
        <w:rPr>
          <w:rFonts w:asciiTheme="minorHAnsi" w:hAnsiTheme="minorHAnsi" w:cstheme="minorHAnsi"/>
          <w:b/>
          <w:sz w:val="24"/>
          <w:szCs w:val="24"/>
        </w:rPr>
      </w:pPr>
      <w:r w:rsidRPr="008643A1">
        <w:rPr>
          <w:rFonts w:asciiTheme="minorHAnsi" w:hAnsiTheme="minorHAnsi" w:cstheme="minorHAnsi"/>
          <w:b/>
          <w:sz w:val="24"/>
          <w:szCs w:val="24"/>
        </w:rPr>
        <w:t>Addenda I</w:t>
      </w:r>
      <w:r w:rsidR="00385429">
        <w:rPr>
          <w:rFonts w:asciiTheme="minorHAnsi" w:hAnsiTheme="minorHAnsi" w:cstheme="minorHAnsi"/>
          <w:b/>
          <w:sz w:val="24"/>
          <w:szCs w:val="24"/>
        </w:rPr>
        <w:t>II</w:t>
      </w:r>
    </w:p>
    <w:p w14:paraId="29262D3A" w14:textId="7A53A533" w:rsidR="00BD62BB" w:rsidRPr="008643A1" w:rsidRDefault="00F76B9B" w:rsidP="00BD62BB">
      <w:pPr>
        <w:jc w:val="center"/>
        <w:rPr>
          <w:rFonts w:asciiTheme="minorHAnsi" w:hAnsiTheme="minorHAnsi" w:cstheme="minorHAnsi"/>
          <w:b/>
          <w:sz w:val="24"/>
          <w:szCs w:val="24"/>
        </w:rPr>
      </w:pPr>
      <w:r w:rsidRPr="008643A1">
        <w:rPr>
          <w:rFonts w:asciiTheme="minorHAnsi" w:hAnsiTheme="minorHAnsi" w:cstheme="minorHAnsi"/>
          <w:b/>
          <w:sz w:val="24"/>
          <w:szCs w:val="24"/>
        </w:rPr>
        <w:t>Miami-Dade County Homeless Trust</w:t>
      </w:r>
    </w:p>
    <w:p w14:paraId="75F58A8E" w14:textId="7138472F" w:rsidR="00F76B9B" w:rsidRPr="008643A1" w:rsidRDefault="00F76B9B" w:rsidP="00BD62BB">
      <w:pPr>
        <w:jc w:val="center"/>
        <w:rPr>
          <w:rFonts w:asciiTheme="minorHAnsi" w:hAnsiTheme="minorHAnsi" w:cstheme="minorHAnsi"/>
          <w:b/>
          <w:sz w:val="24"/>
          <w:szCs w:val="24"/>
          <w:u w:val="single"/>
        </w:rPr>
      </w:pPr>
      <w:r w:rsidRPr="008643A1">
        <w:rPr>
          <w:rFonts w:asciiTheme="minorHAnsi" w:hAnsiTheme="minorHAnsi" w:cstheme="minorHAnsi"/>
          <w:b/>
          <w:sz w:val="24"/>
          <w:szCs w:val="24"/>
        </w:rPr>
        <w:t>Request for Applications</w:t>
      </w:r>
    </w:p>
    <w:p w14:paraId="38A1D35A" w14:textId="77777777" w:rsidR="00BD62BB" w:rsidRPr="008643A1" w:rsidRDefault="00BD62BB" w:rsidP="00BD62BB">
      <w:pPr>
        <w:jc w:val="center"/>
        <w:rPr>
          <w:rFonts w:asciiTheme="minorHAnsi" w:hAnsiTheme="minorHAnsi" w:cstheme="minorHAnsi"/>
          <w:b/>
          <w:sz w:val="24"/>
          <w:szCs w:val="24"/>
          <w:u w:val="single"/>
        </w:rPr>
      </w:pPr>
      <w:r w:rsidRPr="008643A1">
        <w:rPr>
          <w:rFonts w:asciiTheme="minorHAnsi" w:hAnsiTheme="minorHAnsi" w:cstheme="minorHAnsi"/>
          <w:b/>
          <w:sz w:val="24"/>
          <w:szCs w:val="24"/>
          <w:u w:val="single"/>
        </w:rPr>
        <w:t>Response to written questions</w:t>
      </w:r>
    </w:p>
    <w:p w14:paraId="3335EFE6" w14:textId="53B6C781" w:rsidR="00BD62BB" w:rsidRDefault="00BD62BB" w:rsidP="00BD62BB">
      <w:pPr>
        <w:rPr>
          <w:rFonts w:asciiTheme="minorHAnsi" w:hAnsiTheme="minorHAnsi" w:cstheme="minorHAnsi"/>
          <w:sz w:val="24"/>
          <w:szCs w:val="24"/>
        </w:rPr>
      </w:pPr>
    </w:p>
    <w:p w14:paraId="02D7D31B" w14:textId="77777777" w:rsidR="0059105F" w:rsidRPr="0078164B" w:rsidRDefault="0059105F" w:rsidP="0059105F">
      <w:pPr>
        <w:rPr>
          <w:rFonts w:asciiTheme="minorHAnsi" w:hAnsiTheme="minorHAnsi" w:cstheme="minorHAnsi"/>
          <w:color w:val="FF0000"/>
          <w:sz w:val="24"/>
          <w:szCs w:val="24"/>
        </w:rPr>
      </w:pPr>
      <w:r w:rsidRPr="0078164B">
        <w:rPr>
          <w:rFonts w:asciiTheme="minorHAnsi" w:hAnsiTheme="minorHAnsi" w:cstheme="minorHAnsi"/>
          <w:color w:val="FF0000"/>
          <w:sz w:val="24"/>
          <w:szCs w:val="24"/>
        </w:rPr>
        <w:t xml:space="preserve">For question 9 </w:t>
      </w:r>
      <w:r w:rsidRPr="0078164B">
        <w:rPr>
          <w:rFonts w:asciiTheme="minorHAnsi" w:hAnsiTheme="minorHAnsi" w:cstheme="minorHAnsi"/>
          <w:color w:val="FF0000"/>
          <w:sz w:val="24"/>
          <w:szCs w:val="24"/>
        </w:rPr>
        <w:t>in the Renewal Project Application</w:t>
      </w:r>
      <w:r w:rsidRPr="0078164B">
        <w:rPr>
          <w:rFonts w:asciiTheme="minorHAnsi" w:hAnsiTheme="minorHAnsi" w:cstheme="minorHAnsi"/>
          <w:color w:val="FF0000"/>
          <w:sz w:val="24"/>
          <w:szCs w:val="24"/>
        </w:rPr>
        <w:t xml:space="preserve">, should we submit policies, rosters, outcome management data, or any other information to support our responses? </w:t>
      </w:r>
    </w:p>
    <w:p w14:paraId="6A921DE6" w14:textId="77777777" w:rsidR="0059105F" w:rsidRDefault="0059105F" w:rsidP="0059105F">
      <w:pPr>
        <w:rPr>
          <w:rFonts w:asciiTheme="minorHAnsi" w:hAnsiTheme="minorHAnsi" w:cstheme="minorHAnsi"/>
          <w:sz w:val="24"/>
          <w:szCs w:val="24"/>
        </w:rPr>
      </w:pPr>
    </w:p>
    <w:p w14:paraId="5E16E11A" w14:textId="2CCA5E58" w:rsidR="0059105F" w:rsidRPr="0059105F" w:rsidRDefault="0059105F" w:rsidP="0059105F">
      <w:pPr>
        <w:rPr>
          <w:rFonts w:asciiTheme="minorHAnsi" w:hAnsiTheme="minorHAnsi" w:cstheme="minorHAnsi"/>
          <w:sz w:val="24"/>
          <w:szCs w:val="24"/>
        </w:rPr>
      </w:pPr>
      <w:r w:rsidRPr="0059105F">
        <w:rPr>
          <w:rFonts w:asciiTheme="minorHAnsi" w:hAnsiTheme="minorHAnsi" w:cstheme="minorHAnsi"/>
          <w:sz w:val="24"/>
          <w:szCs w:val="24"/>
        </w:rPr>
        <w:t>You may although it is not required, a narrative response is sufficient.</w:t>
      </w:r>
    </w:p>
    <w:p w14:paraId="6630FE9E" w14:textId="77777777" w:rsidR="0059105F" w:rsidRDefault="0059105F" w:rsidP="0059105F">
      <w:pPr>
        <w:rPr>
          <w:rFonts w:asciiTheme="minorHAnsi" w:hAnsiTheme="minorHAnsi" w:cstheme="minorHAnsi"/>
          <w:sz w:val="24"/>
          <w:szCs w:val="24"/>
        </w:rPr>
      </w:pPr>
    </w:p>
    <w:p w14:paraId="4E30B742" w14:textId="25EA5414" w:rsidR="0059105F" w:rsidRPr="0078164B" w:rsidRDefault="0059105F" w:rsidP="0059105F">
      <w:pPr>
        <w:rPr>
          <w:rFonts w:asciiTheme="minorHAnsi" w:hAnsiTheme="minorHAnsi" w:cstheme="minorHAnsi"/>
          <w:color w:val="FF0000"/>
          <w:sz w:val="24"/>
          <w:szCs w:val="24"/>
        </w:rPr>
      </w:pPr>
      <w:r w:rsidRPr="0078164B">
        <w:rPr>
          <w:rFonts w:asciiTheme="minorHAnsi" w:hAnsiTheme="minorHAnsi" w:cstheme="minorHAnsi"/>
          <w:color w:val="FF0000"/>
          <w:sz w:val="24"/>
          <w:szCs w:val="24"/>
        </w:rPr>
        <w:t>Would responses</w:t>
      </w:r>
      <w:r w:rsidRPr="0078164B">
        <w:rPr>
          <w:rFonts w:asciiTheme="minorHAnsi" w:hAnsiTheme="minorHAnsi" w:cstheme="minorHAnsi"/>
          <w:color w:val="FF0000"/>
          <w:sz w:val="24"/>
          <w:szCs w:val="24"/>
        </w:rPr>
        <w:t xml:space="preserve"> to </w:t>
      </w:r>
      <w:r w:rsidRPr="0078164B">
        <w:rPr>
          <w:rFonts w:asciiTheme="minorHAnsi" w:hAnsiTheme="minorHAnsi" w:cstheme="minorHAnsi"/>
          <w:color w:val="FF0000"/>
          <w:sz w:val="24"/>
          <w:szCs w:val="24"/>
        </w:rPr>
        <w:t>question 9 in the Renewal Project Application</w:t>
      </w:r>
      <w:r w:rsidRPr="0078164B">
        <w:rPr>
          <w:rFonts w:asciiTheme="minorHAnsi" w:hAnsiTheme="minorHAnsi" w:cstheme="minorHAnsi"/>
          <w:color w:val="FF0000"/>
          <w:sz w:val="24"/>
          <w:szCs w:val="24"/>
        </w:rPr>
        <w:t>,</w:t>
      </w:r>
      <w:r w:rsidRPr="0078164B">
        <w:rPr>
          <w:rFonts w:asciiTheme="minorHAnsi" w:hAnsiTheme="minorHAnsi" w:cstheme="minorHAnsi"/>
          <w:color w:val="FF0000"/>
          <w:sz w:val="24"/>
          <w:szCs w:val="24"/>
        </w:rPr>
        <w:t xml:space="preserve"> that describe how the agency is working to improve or enhance these areas be considered favorable even if they are “in progress”? </w:t>
      </w:r>
    </w:p>
    <w:p w14:paraId="35F465D1" w14:textId="77777777" w:rsidR="0059105F" w:rsidRDefault="0059105F" w:rsidP="0059105F">
      <w:pPr>
        <w:rPr>
          <w:rFonts w:asciiTheme="minorHAnsi" w:hAnsiTheme="minorHAnsi" w:cstheme="minorHAnsi"/>
          <w:sz w:val="24"/>
          <w:szCs w:val="24"/>
        </w:rPr>
      </w:pPr>
    </w:p>
    <w:p w14:paraId="7C2CD334" w14:textId="7BF2C89B" w:rsidR="0059105F" w:rsidRDefault="0059105F" w:rsidP="0059105F">
      <w:pPr>
        <w:rPr>
          <w:rFonts w:asciiTheme="minorHAnsi" w:hAnsiTheme="minorHAnsi" w:cstheme="minorHAnsi"/>
          <w:sz w:val="24"/>
          <w:szCs w:val="24"/>
        </w:rPr>
      </w:pPr>
      <w:r>
        <w:rPr>
          <w:rFonts w:asciiTheme="minorHAnsi" w:hAnsiTheme="minorHAnsi" w:cstheme="minorHAnsi"/>
          <w:sz w:val="24"/>
          <w:szCs w:val="24"/>
        </w:rPr>
        <w:t>Y</w:t>
      </w:r>
      <w:r w:rsidRPr="0059105F">
        <w:rPr>
          <w:rFonts w:asciiTheme="minorHAnsi" w:hAnsiTheme="minorHAnsi" w:cstheme="minorHAnsi"/>
          <w:sz w:val="24"/>
          <w:szCs w:val="24"/>
        </w:rPr>
        <w:t>es.</w:t>
      </w:r>
    </w:p>
    <w:p w14:paraId="374E516B" w14:textId="77777777" w:rsidR="0059105F" w:rsidRDefault="0059105F" w:rsidP="0059105F">
      <w:pPr>
        <w:rPr>
          <w:rFonts w:asciiTheme="minorHAnsi" w:hAnsiTheme="minorHAnsi" w:cstheme="minorHAnsi"/>
          <w:sz w:val="24"/>
          <w:szCs w:val="24"/>
        </w:rPr>
      </w:pPr>
    </w:p>
    <w:p w14:paraId="5EB5B326" w14:textId="68ABFF3B" w:rsidR="0059105F" w:rsidRPr="0078164B" w:rsidRDefault="0059105F" w:rsidP="0059105F">
      <w:pPr>
        <w:rPr>
          <w:rFonts w:asciiTheme="minorHAnsi" w:hAnsiTheme="minorHAnsi" w:cstheme="minorHAnsi"/>
          <w:color w:val="FF0000"/>
          <w:sz w:val="24"/>
          <w:szCs w:val="24"/>
        </w:rPr>
      </w:pPr>
      <w:r w:rsidRPr="0078164B">
        <w:rPr>
          <w:rFonts w:asciiTheme="minorHAnsi" w:hAnsiTheme="minorHAnsi" w:cstheme="minorHAnsi"/>
          <w:color w:val="FF0000"/>
          <w:sz w:val="24"/>
          <w:szCs w:val="24"/>
        </w:rPr>
        <w:t xml:space="preserve">Can you please clarify the new match requirement noted on page 16 of the NOFO: “Respondents will be asked to provide the match sources for their most recent grant closeout.”? Does this mean that our proposed sources of match for the renewal must be the same sources we used in our last grant year? </w:t>
      </w:r>
    </w:p>
    <w:p w14:paraId="19B74320" w14:textId="77777777" w:rsidR="0059105F" w:rsidRDefault="0059105F" w:rsidP="0059105F">
      <w:pPr>
        <w:rPr>
          <w:rFonts w:asciiTheme="minorHAnsi" w:hAnsiTheme="minorHAnsi" w:cstheme="minorHAnsi"/>
          <w:sz w:val="24"/>
          <w:szCs w:val="24"/>
        </w:rPr>
      </w:pPr>
    </w:p>
    <w:p w14:paraId="7BA6AD51" w14:textId="4760E5A8" w:rsidR="0059105F" w:rsidRDefault="0059105F" w:rsidP="0059105F">
      <w:pPr>
        <w:rPr>
          <w:rFonts w:asciiTheme="minorHAnsi" w:hAnsiTheme="minorHAnsi" w:cstheme="minorHAnsi"/>
          <w:sz w:val="24"/>
          <w:szCs w:val="24"/>
        </w:rPr>
      </w:pPr>
      <w:r w:rsidRPr="0059105F">
        <w:rPr>
          <w:rFonts w:asciiTheme="minorHAnsi" w:hAnsiTheme="minorHAnsi" w:cstheme="minorHAnsi"/>
          <w:sz w:val="24"/>
          <w:szCs w:val="24"/>
        </w:rPr>
        <w:t xml:space="preserve">The solicitation says “respondents will be asked to provide the match sources for their most recent grant close-out, in addition to the match commitment letters.” We are asking for </w:t>
      </w:r>
      <w:r>
        <w:rPr>
          <w:rFonts w:asciiTheme="minorHAnsi" w:hAnsiTheme="minorHAnsi" w:cstheme="minorHAnsi"/>
          <w:sz w:val="24"/>
          <w:szCs w:val="24"/>
        </w:rPr>
        <w:t>proof of how you spent your match on the previous year so we can raise questions about match</w:t>
      </w:r>
      <w:r w:rsidRPr="0059105F">
        <w:rPr>
          <w:rFonts w:asciiTheme="minorHAnsi" w:hAnsiTheme="minorHAnsi" w:cstheme="minorHAnsi"/>
          <w:sz w:val="24"/>
          <w:szCs w:val="24"/>
        </w:rPr>
        <w:t xml:space="preserve"> commitment letters that </w:t>
      </w:r>
      <w:r>
        <w:rPr>
          <w:rFonts w:asciiTheme="minorHAnsi" w:hAnsiTheme="minorHAnsi" w:cstheme="minorHAnsi"/>
          <w:sz w:val="24"/>
          <w:szCs w:val="24"/>
        </w:rPr>
        <w:t xml:space="preserve">are drastically different to </w:t>
      </w:r>
      <w:r w:rsidRPr="0059105F">
        <w:rPr>
          <w:rFonts w:asciiTheme="minorHAnsi" w:hAnsiTheme="minorHAnsi" w:cstheme="minorHAnsi"/>
          <w:sz w:val="24"/>
          <w:szCs w:val="24"/>
        </w:rPr>
        <w:t>actual match sources.</w:t>
      </w:r>
    </w:p>
    <w:p w14:paraId="0B6EDE8B" w14:textId="77777777" w:rsidR="0059105F" w:rsidRPr="0059105F" w:rsidRDefault="0059105F" w:rsidP="0059105F">
      <w:pPr>
        <w:rPr>
          <w:rFonts w:asciiTheme="minorHAnsi" w:hAnsiTheme="minorHAnsi" w:cstheme="minorHAnsi"/>
          <w:sz w:val="24"/>
          <w:szCs w:val="24"/>
        </w:rPr>
      </w:pPr>
    </w:p>
    <w:p w14:paraId="4453E793" w14:textId="77777777" w:rsidR="0059105F" w:rsidRPr="0078164B" w:rsidRDefault="0059105F" w:rsidP="0059105F">
      <w:pPr>
        <w:rPr>
          <w:rFonts w:asciiTheme="minorHAnsi" w:hAnsiTheme="minorHAnsi" w:cstheme="minorHAnsi"/>
          <w:color w:val="FF0000"/>
          <w:sz w:val="24"/>
          <w:szCs w:val="24"/>
        </w:rPr>
      </w:pPr>
      <w:r w:rsidRPr="0078164B">
        <w:rPr>
          <w:rFonts w:asciiTheme="minorHAnsi" w:hAnsiTheme="minorHAnsi" w:cstheme="minorHAnsi"/>
          <w:color w:val="FF0000"/>
          <w:sz w:val="24"/>
          <w:szCs w:val="24"/>
        </w:rPr>
        <w:t>Is there documentation we need to provide outside of Attachment 13 and our match commitment letters?</w:t>
      </w:r>
    </w:p>
    <w:p w14:paraId="648AD014" w14:textId="77777777" w:rsidR="0059105F" w:rsidRPr="0078164B" w:rsidRDefault="0059105F" w:rsidP="0059105F">
      <w:pPr>
        <w:rPr>
          <w:rFonts w:asciiTheme="minorHAnsi" w:hAnsiTheme="minorHAnsi" w:cstheme="minorHAnsi"/>
          <w:color w:val="FF0000"/>
          <w:sz w:val="24"/>
          <w:szCs w:val="24"/>
        </w:rPr>
      </w:pPr>
    </w:p>
    <w:p w14:paraId="61E7C2A6" w14:textId="24C16915" w:rsidR="0059105F" w:rsidRPr="0059105F" w:rsidRDefault="0059105F" w:rsidP="0059105F">
      <w:pPr>
        <w:rPr>
          <w:rFonts w:asciiTheme="minorHAnsi" w:hAnsiTheme="minorHAnsi" w:cstheme="minorHAnsi"/>
          <w:sz w:val="24"/>
          <w:szCs w:val="24"/>
        </w:rPr>
      </w:pPr>
      <w:r w:rsidRPr="0059105F">
        <w:rPr>
          <w:rFonts w:asciiTheme="minorHAnsi" w:hAnsiTheme="minorHAnsi" w:cstheme="minorHAnsi"/>
          <w:sz w:val="24"/>
          <w:szCs w:val="24"/>
        </w:rPr>
        <w:t xml:space="preserve">Yes, </w:t>
      </w:r>
      <w:r>
        <w:rPr>
          <w:rFonts w:asciiTheme="minorHAnsi" w:hAnsiTheme="minorHAnsi" w:cstheme="minorHAnsi"/>
          <w:sz w:val="24"/>
          <w:szCs w:val="24"/>
        </w:rPr>
        <w:t>the documentation that supports the</w:t>
      </w:r>
      <w:r w:rsidRPr="0059105F">
        <w:rPr>
          <w:rFonts w:asciiTheme="minorHAnsi" w:hAnsiTheme="minorHAnsi" w:cstheme="minorHAnsi"/>
          <w:sz w:val="24"/>
          <w:szCs w:val="24"/>
        </w:rPr>
        <w:t xml:space="preserve"> actual match used in the previous year.</w:t>
      </w:r>
    </w:p>
    <w:p w14:paraId="132348C1" w14:textId="77777777" w:rsidR="0059105F" w:rsidRPr="0059105F" w:rsidRDefault="0059105F" w:rsidP="0059105F">
      <w:pPr>
        <w:rPr>
          <w:rFonts w:asciiTheme="minorHAnsi" w:hAnsiTheme="minorHAnsi" w:cstheme="minorHAnsi"/>
          <w:sz w:val="24"/>
          <w:szCs w:val="24"/>
        </w:rPr>
      </w:pPr>
    </w:p>
    <w:p w14:paraId="4BAABD8C" w14:textId="2AE90B38" w:rsidR="0059105F" w:rsidRPr="0078164B" w:rsidRDefault="0059105F" w:rsidP="0059105F">
      <w:pPr>
        <w:rPr>
          <w:rFonts w:asciiTheme="minorHAnsi" w:hAnsiTheme="minorHAnsi" w:cstheme="minorHAnsi"/>
          <w:color w:val="FF0000"/>
          <w:sz w:val="24"/>
          <w:szCs w:val="24"/>
        </w:rPr>
      </w:pPr>
      <w:r w:rsidRPr="0078164B">
        <w:rPr>
          <w:rFonts w:asciiTheme="minorHAnsi" w:hAnsiTheme="minorHAnsi" w:cstheme="minorHAnsi"/>
          <w:color w:val="FF0000"/>
          <w:sz w:val="24"/>
          <w:szCs w:val="24"/>
        </w:rPr>
        <w:t>Is it allowable to convert all of the documents for our renewal application into PDF format for submission?</w:t>
      </w:r>
    </w:p>
    <w:p w14:paraId="09A561F1" w14:textId="77777777" w:rsidR="0059105F" w:rsidRDefault="0059105F" w:rsidP="0059105F">
      <w:pPr>
        <w:rPr>
          <w:rFonts w:asciiTheme="minorHAnsi" w:hAnsiTheme="minorHAnsi" w:cstheme="minorHAnsi"/>
          <w:sz w:val="24"/>
          <w:szCs w:val="24"/>
        </w:rPr>
      </w:pPr>
    </w:p>
    <w:p w14:paraId="70368EDB" w14:textId="39E2A3A0" w:rsidR="0059105F" w:rsidRDefault="0059105F" w:rsidP="0059105F">
      <w:pPr>
        <w:rPr>
          <w:rFonts w:asciiTheme="minorHAnsi" w:hAnsiTheme="minorHAnsi" w:cstheme="minorHAnsi"/>
          <w:sz w:val="24"/>
          <w:szCs w:val="24"/>
        </w:rPr>
      </w:pPr>
      <w:r w:rsidRPr="0059105F">
        <w:rPr>
          <w:rFonts w:asciiTheme="minorHAnsi" w:hAnsiTheme="minorHAnsi" w:cstheme="minorHAnsi"/>
          <w:sz w:val="24"/>
          <w:szCs w:val="24"/>
        </w:rPr>
        <w:t xml:space="preserve">Sure, </w:t>
      </w:r>
      <w:r w:rsidRPr="0059105F">
        <w:rPr>
          <w:rFonts w:asciiTheme="minorHAnsi" w:hAnsiTheme="minorHAnsi" w:cstheme="minorHAnsi"/>
          <w:sz w:val="24"/>
          <w:szCs w:val="24"/>
        </w:rPr>
        <w:t>except for</w:t>
      </w:r>
      <w:r w:rsidRPr="0059105F">
        <w:rPr>
          <w:rFonts w:asciiTheme="minorHAnsi" w:hAnsiTheme="minorHAnsi" w:cstheme="minorHAnsi"/>
          <w:sz w:val="24"/>
          <w:szCs w:val="24"/>
        </w:rPr>
        <w:t xml:space="preserve"> </w:t>
      </w:r>
      <w:r>
        <w:rPr>
          <w:rFonts w:asciiTheme="minorHAnsi" w:hAnsiTheme="minorHAnsi" w:cstheme="minorHAnsi"/>
          <w:sz w:val="24"/>
          <w:szCs w:val="24"/>
        </w:rPr>
        <w:t xml:space="preserve">the </w:t>
      </w:r>
      <w:r w:rsidRPr="0059105F">
        <w:rPr>
          <w:rFonts w:asciiTheme="minorHAnsi" w:hAnsiTheme="minorHAnsi" w:cstheme="minorHAnsi"/>
          <w:sz w:val="24"/>
          <w:szCs w:val="24"/>
        </w:rPr>
        <w:t xml:space="preserve">new project applications and the budget </w:t>
      </w:r>
      <w:r>
        <w:rPr>
          <w:rFonts w:asciiTheme="minorHAnsi" w:hAnsiTheme="minorHAnsi" w:cstheme="minorHAnsi"/>
          <w:sz w:val="24"/>
          <w:szCs w:val="24"/>
        </w:rPr>
        <w:t xml:space="preserve">which are </w:t>
      </w:r>
      <w:r w:rsidRPr="0059105F">
        <w:rPr>
          <w:rFonts w:asciiTheme="minorHAnsi" w:hAnsiTheme="minorHAnsi" w:cstheme="minorHAnsi"/>
          <w:sz w:val="24"/>
          <w:szCs w:val="24"/>
        </w:rPr>
        <w:t>only required for new project</w:t>
      </w:r>
      <w:r>
        <w:rPr>
          <w:rFonts w:asciiTheme="minorHAnsi" w:hAnsiTheme="minorHAnsi" w:cstheme="minorHAnsi"/>
          <w:sz w:val="24"/>
          <w:szCs w:val="24"/>
        </w:rPr>
        <w:t xml:space="preserve"> application</w:t>
      </w:r>
      <w:r w:rsidRPr="0059105F">
        <w:rPr>
          <w:rFonts w:asciiTheme="minorHAnsi" w:hAnsiTheme="minorHAnsi" w:cstheme="minorHAnsi"/>
          <w:sz w:val="24"/>
          <w:szCs w:val="24"/>
        </w:rPr>
        <w:t>s</w:t>
      </w:r>
      <w:r>
        <w:rPr>
          <w:rFonts w:asciiTheme="minorHAnsi" w:hAnsiTheme="minorHAnsi" w:cstheme="minorHAnsi"/>
          <w:sz w:val="24"/>
          <w:szCs w:val="24"/>
        </w:rPr>
        <w:t>.</w:t>
      </w:r>
    </w:p>
    <w:p w14:paraId="0AFCD051" w14:textId="77777777" w:rsidR="0059105F" w:rsidRDefault="0059105F" w:rsidP="0059105F">
      <w:pPr>
        <w:rPr>
          <w:rFonts w:asciiTheme="minorHAnsi" w:hAnsiTheme="minorHAnsi" w:cstheme="minorHAnsi"/>
          <w:sz w:val="24"/>
          <w:szCs w:val="24"/>
        </w:rPr>
      </w:pPr>
    </w:p>
    <w:p w14:paraId="0B41267B" w14:textId="21A395C1" w:rsidR="0059105F" w:rsidRPr="0078164B" w:rsidRDefault="0059105F" w:rsidP="0059105F">
      <w:pPr>
        <w:rPr>
          <w:rFonts w:asciiTheme="minorHAnsi" w:hAnsiTheme="minorHAnsi" w:cstheme="minorHAnsi"/>
          <w:color w:val="FF0000"/>
          <w:sz w:val="24"/>
          <w:szCs w:val="24"/>
        </w:rPr>
      </w:pPr>
      <w:r w:rsidRPr="0078164B">
        <w:rPr>
          <w:rFonts w:asciiTheme="minorHAnsi" w:hAnsiTheme="minorHAnsi" w:cstheme="minorHAnsi"/>
          <w:color w:val="FF0000"/>
          <w:sz w:val="24"/>
          <w:szCs w:val="24"/>
        </w:rPr>
        <w:t>Should we refer to the NOFO or the RFA Checklist to determine which attachments are required?</w:t>
      </w:r>
    </w:p>
    <w:p w14:paraId="4B03990F" w14:textId="77777777" w:rsidR="0059105F" w:rsidRPr="0059105F" w:rsidRDefault="0059105F" w:rsidP="0059105F">
      <w:pPr>
        <w:rPr>
          <w:rFonts w:asciiTheme="minorHAnsi" w:hAnsiTheme="minorHAnsi" w:cstheme="minorHAnsi"/>
          <w:sz w:val="24"/>
          <w:szCs w:val="24"/>
        </w:rPr>
      </w:pPr>
    </w:p>
    <w:p w14:paraId="60AE44A6" w14:textId="41B739BB" w:rsidR="0059105F" w:rsidRDefault="0059105F" w:rsidP="0059105F">
      <w:pPr>
        <w:rPr>
          <w:color w:val="000000"/>
          <w:sz w:val="24"/>
          <w:szCs w:val="24"/>
        </w:rPr>
      </w:pPr>
      <w:r w:rsidRPr="0059105F">
        <w:rPr>
          <w:rFonts w:asciiTheme="minorHAnsi" w:hAnsiTheme="minorHAnsi" w:cstheme="minorHAnsi"/>
          <w:sz w:val="24"/>
          <w:szCs w:val="24"/>
        </w:rPr>
        <w:t>Yes</w:t>
      </w:r>
      <w:r>
        <w:rPr>
          <w:rFonts w:asciiTheme="minorHAnsi" w:hAnsiTheme="minorHAnsi" w:cstheme="minorHAnsi"/>
          <w:sz w:val="24"/>
          <w:szCs w:val="24"/>
        </w:rPr>
        <w:t xml:space="preserve">. </w:t>
      </w:r>
      <w:r>
        <w:rPr>
          <w:color w:val="000000"/>
          <w:sz w:val="24"/>
          <w:szCs w:val="24"/>
        </w:rPr>
        <w:t xml:space="preserve">On Attachment 2 RFA Checklist, the forms that say “first time applicants” in the “Applies To” column does not apply to agencies that have renewal projects on the Grant Inventory Worksheet. </w:t>
      </w:r>
    </w:p>
    <w:p w14:paraId="6E05CD7F" w14:textId="77777777" w:rsidR="0059105F" w:rsidRDefault="0059105F" w:rsidP="0059105F">
      <w:pPr>
        <w:rPr>
          <w:color w:val="000000"/>
          <w:sz w:val="24"/>
          <w:szCs w:val="24"/>
        </w:rPr>
      </w:pPr>
    </w:p>
    <w:p w14:paraId="28A9BD3C" w14:textId="77777777" w:rsidR="008433EF" w:rsidRPr="0078164B" w:rsidRDefault="008433EF" w:rsidP="008433EF">
      <w:pPr>
        <w:rPr>
          <w:color w:val="FF0000"/>
        </w:rPr>
      </w:pPr>
      <w:r w:rsidRPr="0078164B">
        <w:rPr>
          <w:color w:val="FF0000"/>
        </w:rPr>
        <w:lastRenderedPageBreak/>
        <w:t xml:space="preserve">For  Attachment 14 - US HUD Required Affidavits, where are the documents these Sections refer to? </w:t>
      </w:r>
    </w:p>
    <w:p w14:paraId="526654E9" w14:textId="77777777" w:rsidR="008433EF" w:rsidRPr="0078164B" w:rsidRDefault="008433EF" w:rsidP="008433EF">
      <w:pPr>
        <w:pStyle w:val="NormalWeb"/>
        <w:spacing w:after="267"/>
        <w:rPr>
          <w:rFonts w:ascii="Arial" w:hAnsi="Arial" w:cs="Arial"/>
          <w:color w:val="FF0000"/>
          <w:sz w:val="23"/>
          <w:szCs w:val="23"/>
        </w:rPr>
      </w:pPr>
      <w:r w:rsidRPr="0078164B">
        <w:rPr>
          <w:rFonts w:ascii="Arial" w:hAnsi="Arial" w:cs="Arial"/>
          <w:b/>
          <w:bCs/>
          <w:i/>
          <w:iCs/>
          <w:color w:val="FF0000"/>
          <w:sz w:val="23"/>
          <w:szCs w:val="23"/>
        </w:rPr>
        <w:t>* </w:t>
      </w:r>
      <w:r w:rsidRPr="0078164B">
        <w:rPr>
          <w:rFonts w:ascii="Arial" w:hAnsi="Arial" w:cs="Arial"/>
          <w:i/>
          <w:iCs/>
          <w:color w:val="FF0000"/>
          <w:sz w:val="23"/>
          <w:szCs w:val="23"/>
        </w:rPr>
        <w:t>Real Property Acquisition and Relocation. </w:t>
      </w:r>
      <w:r w:rsidRPr="0078164B">
        <w:rPr>
          <w:rFonts w:ascii="Arial" w:hAnsi="Arial" w:cs="Arial"/>
          <w:color w:val="FF0000"/>
          <w:sz w:val="23"/>
          <w:szCs w:val="23"/>
        </w:rPr>
        <w:t>See Section III.C.5.h. of the General Section. </w:t>
      </w:r>
    </w:p>
    <w:p w14:paraId="2F0FC34A" w14:textId="7C9A3277" w:rsidR="008433EF" w:rsidRPr="0078164B" w:rsidRDefault="008433EF" w:rsidP="008433EF">
      <w:pPr>
        <w:pStyle w:val="NormalWeb"/>
        <w:spacing w:after="267"/>
        <w:rPr>
          <w:rFonts w:cs="Times New Roman"/>
          <w:color w:val="FF0000"/>
        </w:rPr>
      </w:pPr>
      <w:r w:rsidRPr="0078164B">
        <w:rPr>
          <w:rFonts w:ascii="Arial" w:hAnsi="Arial" w:cs="Arial"/>
          <w:i/>
          <w:iCs/>
          <w:color w:val="FF0000"/>
          <w:sz w:val="23"/>
          <w:szCs w:val="23"/>
        </w:rPr>
        <w:t>* Participation in HUD-Sponsored Program Evaluation. </w:t>
      </w:r>
      <w:r w:rsidRPr="0078164B">
        <w:rPr>
          <w:rFonts w:ascii="Arial" w:hAnsi="Arial" w:cs="Arial"/>
          <w:color w:val="FF0000"/>
          <w:sz w:val="23"/>
          <w:szCs w:val="23"/>
        </w:rPr>
        <w:t>See Section III.C.5.l.of the General Section. </w:t>
      </w:r>
      <w:r w:rsidRPr="0078164B">
        <w:rPr>
          <w:rFonts w:cs="Times New Roman"/>
          <w:color w:val="FF0000"/>
        </w:rPr>
        <w:t xml:space="preserve"> </w:t>
      </w:r>
    </w:p>
    <w:p w14:paraId="2E41F986" w14:textId="77777777" w:rsidR="0059105F" w:rsidRDefault="0059105F" w:rsidP="0059105F">
      <w:r>
        <w:t xml:space="preserve">This is a little confusing because HUD moved some of the requirements from Section III in the </w:t>
      </w:r>
      <w:hyperlink r:id="rId5" w:history="1">
        <w:r>
          <w:rPr>
            <w:rStyle w:val="Hyperlink"/>
          </w:rPr>
          <w:t>2022 NOFO</w:t>
        </w:r>
      </w:hyperlink>
      <w:r>
        <w:t xml:space="preserve">, the information you are looking for was published under IX Award Administration Information in the 2022 NOFO, and likely to remain the same for FY2023. </w:t>
      </w:r>
    </w:p>
    <w:p w14:paraId="340E5908" w14:textId="77777777" w:rsidR="0059105F" w:rsidRDefault="0059105F" w:rsidP="0059105F"/>
    <w:p w14:paraId="257A4919" w14:textId="77777777" w:rsidR="0059105F" w:rsidRDefault="0059105F" w:rsidP="0059105F">
      <w:r>
        <w:t xml:space="preserve">IX B Administrative, National and Department Policy Requirements for HUD recipients, specifies under 5, the requirements for real property acquisition and relocation with a link to: </w:t>
      </w:r>
      <w:hyperlink r:id="rId6" w:history="1">
        <w:proofErr w:type="spellStart"/>
        <w:r>
          <w:rPr>
            <w:rStyle w:val="Hyperlink"/>
          </w:rPr>
          <w:t>eCFR</w:t>
        </w:r>
        <w:proofErr w:type="spellEnd"/>
        <w:r>
          <w:rPr>
            <w:rStyle w:val="Hyperlink"/>
          </w:rPr>
          <w:t xml:space="preserve"> :: 49 CFR Part 24 -- Uniform Relocation Assistance and Real Property Acquisition for Federal and Federally-Assisted Programs</w:t>
        </w:r>
      </w:hyperlink>
    </w:p>
    <w:p w14:paraId="5F52F89B" w14:textId="77777777" w:rsidR="0059105F" w:rsidRDefault="0059105F" w:rsidP="0059105F">
      <w:r>
        <w:t xml:space="preserve">And 6 specifies the requirement to participate in HUD sponsored evaluations. </w:t>
      </w:r>
    </w:p>
    <w:p w14:paraId="0D1838D0" w14:textId="77777777" w:rsidR="0059105F" w:rsidRDefault="0059105F" w:rsidP="0059105F"/>
    <w:p w14:paraId="7548499E" w14:textId="77777777" w:rsidR="0059105F" w:rsidRDefault="0059105F" w:rsidP="0059105F">
      <w:r>
        <w:t>There is additional information on relocation but the requirement on participating in HUD sponsored evaluations is simply that.</w:t>
      </w:r>
    </w:p>
    <w:p w14:paraId="541600E3" w14:textId="77777777" w:rsidR="0059105F" w:rsidRDefault="0059105F" w:rsidP="0059105F"/>
    <w:p w14:paraId="697D21CF" w14:textId="7F4AF258" w:rsidR="0059105F" w:rsidRPr="0078164B" w:rsidRDefault="008433EF" w:rsidP="008433EF">
      <w:pPr>
        <w:rPr>
          <w:color w:val="FF0000"/>
        </w:rPr>
      </w:pPr>
      <w:r w:rsidRPr="0078164B">
        <w:rPr>
          <w:color w:val="FF0000"/>
        </w:rPr>
        <w:t>Given that the application is 18 months away from any possible contract/start date, if there are changes to the components of match budgeted in this application (for example, more rental assistance cash match, less medical), is that acceptable as long as all HUD rules are followed?</w:t>
      </w:r>
    </w:p>
    <w:p w14:paraId="7B78F76A" w14:textId="77777777" w:rsidR="008433EF" w:rsidRDefault="008433EF" w:rsidP="008433EF"/>
    <w:p w14:paraId="63A1A7B0" w14:textId="77777777" w:rsidR="008433EF" w:rsidRDefault="008433EF" w:rsidP="008433EF">
      <w:r>
        <w:t>Yes, if awarded funds you will be given an opportunity to provide current match commitments at time of contracting.</w:t>
      </w:r>
    </w:p>
    <w:p w14:paraId="456D98F9" w14:textId="77777777" w:rsidR="008433EF" w:rsidRDefault="008433EF" w:rsidP="008433EF">
      <w:pPr>
        <w:rPr>
          <w:rFonts w:asciiTheme="minorHAnsi" w:hAnsiTheme="minorHAnsi" w:cstheme="minorHAnsi"/>
          <w:sz w:val="24"/>
          <w:szCs w:val="24"/>
        </w:rPr>
      </w:pPr>
    </w:p>
    <w:p w14:paraId="04EE3C39" w14:textId="77777777" w:rsidR="008433EF" w:rsidRPr="0078164B" w:rsidRDefault="008433EF" w:rsidP="008433EF">
      <w:pPr>
        <w:rPr>
          <w:color w:val="FF0000"/>
        </w:rPr>
      </w:pPr>
      <w:r w:rsidRPr="0078164B">
        <w:rPr>
          <w:color w:val="FF0000"/>
        </w:rPr>
        <w:t>Are MOUs for in kind service match required to be submitted with the application now or when the HUD contract is negotiated?</w:t>
      </w:r>
    </w:p>
    <w:p w14:paraId="275CAA27" w14:textId="77777777" w:rsidR="008433EF" w:rsidRDefault="008433EF" w:rsidP="008433EF">
      <w:pPr>
        <w:rPr>
          <w:rFonts w:asciiTheme="minorHAnsi" w:hAnsiTheme="minorHAnsi" w:cstheme="minorHAnsi"/>
          <w:sz w:val="24"/>
          <w:szCs w:val="24"/>
        </w:rPr>
      </w:pPr>
    </w:p>
    <w:p w14:paraId="58E0C6D3" w14:textId="0DC5683A" w:rsidR="008433EF" w:rsidRDefault="008433EF" w:rsidP="008433EF">
      <w:r>
        <w:t xml:space="preserve">Yes, match MOUs </w:t>
      </w:r>
      <w:r>
        <w:t xml:space="preserve">are required with your response to the solicitation </w:t>
      </w:r>
      <w:r>
        <w:t>due at 2 p.m. on June 30th</w:t>
      </w:r>
      <w:r>
        <w:t>.</w:t>
      </w:r>
    </w:p>
    <w:p w14:paraId="4731E9C0" w14:textId="77777777" w:rsidR="008433EF" w:rsidRDefault="008433EF" w:rsidP="008433EF"/>
    <w:p w14:paraId="20550DED" w14:textId="77777777" w:rsidR="008433EF" w:rsidRDefault="008433EF" w:rsidP="008433EF">
      <w:r w:rsidRPr="0078164B">
        <w:rPr>
          <w:color w:val="FF0000"/>
        </w:rPr>
        <w:t>Is the $5,000,000 DV bonus for a one year period?  If not can it be rolled over to the second 12 months for RRH that is 24 months or will there be another CoC for $5,000,000 in the second 12 months?</w:t>
      </w:r>
      <w:r>
        <w:br w:type="textWrapping" w:clear="all"/>
      </w:r>
    </w:p>
    <w:p w14:paraId="036B348B" w14:textId="77777777" w:rsidR="008433EF" w:rsidRDefault="008433EF" w:rsidP="008433EF">
      <w:r>
        <w:t xml:space="preserve">The grant term we will be using is 12 months. If awarded funds, you may renew the project during the next competition. It is common for programs to lapse dollars, especially in start-up years. Monies that go unspent by projects are recaptured by HUD and used to fund bonus projects in future years. HUD has not reduced projects for lapsing funds and we exempt projects from reallocating lapse for the first two years. </w:t>
      </w:r>
    </w:p>
    <w:p w14:paraId="4327F116" w14:textId="77777777" w:rsidR="008433EF" w:rsidRDefault="008433EF" w:rsidP="008433EF"/>
    <w:p w14:paraId="537D41BD" w14:textId="77777777" w:rsidR="008433EF" w:rsidRPr="00337D17" w:rsidRDefault="008433EF" w:rsidP="008433EF">
      <w:pPr>
        <w:rPr>
          <w:rFonts w:eastAsia="Times New Roman"/>
          <w:color w:val="FF0000"/>
        </w:rPr>
      </w:pPr>
      <w:r w:rsidRPr="00337D17">
        <w:rPr>
          <w:rFonts w:eastAsia="Times New Roman"/>
          <w:color w:val="FF0000"/>
        </w:rPr>
        <w:t xml:space="preserve">Do we have to submit any documentation (police reports, court orders </w:t>
      </w:r>
      <w:proofErr w:type="spellStart"/>
      <w:r w:rsidRPr="00337D17">
        <w:rPr>
          <w:rFonts w:eastAsia="Times New Roman"/>
          <w:color w:val="FF0000"/>
        </w:rPr>
        <w:t>etc</w:t>
      </w:r>
      <w:proofErr w:type="spellEnd"/>
      <w:r w:rsidRPr="00337D17">
        <w:rPr>
          <w:rFonts w:eastAsia="Times New Roman"/>
          <w:color w:val="FF0000"/>
        </w:rPr>
        <w:t xml:space="preserve">) to prove the current DV status or is the </w:t>
      </w:r>
      <w:proofErr w:type="spellStart"/>
      <w:r w:rsidRPr="00337D17">
        <w:rPr>
          <w:rFonts w:eastAsia="Times New Roman"/>
          <w:color w:val="FF0000"/>
        </w:rPr>
        <w:t>self reported</w:t>
      </w:r>
      <w:proofErr w:type="spellEnd"/>
      <w:r w:rsidRPr="00337D17">
        <w:rPr>
          <w:rFonts w:eastAsia="Times New Roman"/>
          <w:color w:val="FF0000"/>
        </w:rPr>
        <w:t xml:space="preserve"> data we collect at intake enough?</w:t>
      </w:r>
      <w:r w:rsidRPr="00337D17">
        <w:rPr>
          <w:rFonts w:eastAsia="Times New Roman"/>
          <w:color w:val="FF0000"/>
        </w:rPr>
        <w:br w:type="textWrapping" w:clear="all"/>
      </w:r>
    </w:p>
    <w:p w14:paraId="0DF5B05F" w14:textId="7FB2B58F" w:rsidR="008433EF" w:rsidRDefault="008433EF" w:rsidP="008433EF">
      <w:pPr>
        <w:rPr>
          <w:rFonts w:eastAsia="Times New Roman"/>
        </w:rPr>
      </w:pPr>
      <w:r>
        <w:rPr>
          <w:rFonts w:eastAsia="Times New Roman"/>
        </w:rPr>
        <w:t>See HUD guidance on documenting DV here: </w:t>
      </w:r>
      <w:hyperlink r:id="rId7" w:history="1">
        <w:r>
          <w:rPr>
            <w:rStyle w:val="Hyperlink"/>
            <w:rFonts w:eastAsia="Times New Roman"/>
          </w:rPr>
          <w:t>https://www.hud.gov/sites/documents/5382.DOCX</w:t>
        </w:r>
      </w:hyperlink>
    </w:p>
    <w:p w14:paraId="16DEB6F3" w14:textId="77777777" w:rsidR="008433EF" w:rsidRDefault="008433EF" w:rsidP="008433EF">
      <w:pPr>
        <w:rPr>
          <w:rFonts w:eastAsia="Times New Roman"/>
        </w:rPr>
      </w:pPr>
    </w:p>
    <w:p w14:paraId="1DBB6E3C" w14:textId="77777777" w:rsidR="008433EF" w:rsidRPr="00337D17" w:rsidRDefault="008433EF" w:rsidP="008433EF">
      <w:pPr>
        <w:rPr>
          <w:rFonts w:eastAsia="Times New Roman"/>
          <w:color w:val="FF0000"/>
        </w:rPr>
      </w:pPr>
      <w:r w:rsidRPr="00337D17">
        <w:rPr>
          <w:rFonts w:eastAsia="Times New Roman"/>
          <w:color w:val="FF0000"/>
        </w:rPr>
        <w:t xml:space="preserve">For match or for the budget request, if we are doing in kind for health care can we do a % of a salary to serve x number of clients or do we have to document each procedure for each client and the estimated cost for that procedure?  Just trying to clarify the documentation process in the reimbursement phase. </w:t>
      </w:r>
    </w:p>
    <w:p w14:paraId="79630098" w14:textId="029BA337" w:rsidR="008433EF" w:rsidRDefault="008433EF" w:rsidP="008433EF">
      <w:pPr>
        <w:rPr>
          <w:rFonts w:eastAsia="Times New Roman"/>
        </w:rPr>
      </w:pPr>
      <w:r>
        <w:rPr>
          <w:rFonts w:eastAsia="Times New Roman"/>
        </w:rPr>
        <w:lastRenderedPageBreak/>
        <w:t>Take a look at this HUD tool on documenting match: </w:t>
      </w:r>
      <w:hyperlink r:id="rId8" w:history="1">
        <w:r>
          <w:rPr>
            <w:rStyle w:val="Hyperlink"/>
            <w:rFonts w:eastAsia="Times New Roman"/>
          </w:rPr>
          <w:t>https://www.hudexchange.info/homelessness-assistance/coc-esg-virtual-binders/coc-match/in-kind-match/documentation/</w:t>
        </w:r>
      </w:hyperlink>
    </w:p>
    <w:p w14:paraId="73927560" w14:textId="77777777" w:rsidR="008433EF" w:rsidRDefault="008433EF" w:rsidP="008433EF">
      <w:pPr>
        <w:rPr>
          <w:rFonts w:eastAsia="Times New Roman"/>
        </w:rPr>
      </w:pPr>
    </w:p>
    <w:p w14:paraId="5F92C7BE" w14:textId="2CFDE85C" w:rsidR="008433EF" w:rsidRPr="00337D17" w:rsidRDefault="008433EF" w:rsidP="008433EF">
      <w:pPr>
        <w:rPr>
          <w:color w:val="FF0000"/>
        </w:rPr>
      </w:pPr>
      <w:r w:rsidRPr="00337D17">
        <w:rPr>
          <w:color w:val="FF0000"/>
        </w:rPr>
        <w:t>Can we charge rent (leasing cost) for a unit in Lotus Village that will be used for Transitional Housing for this project (DV Bonus)?</w:t>
      </w:r>
      <w:r w:rsidRPr="00337D17">
        <w:rPr>
          <w:color w:val="FF0000"/>
        </w:rPr>
        <w:br w:type="textWrapping" w:clear="all"/>
      </w:r>
    </w:p>
    <w:p w14:paraId="177FDBF5" w14:textId="62207740" w:rsidR="008433EF" w:rsidRDefault="008433EF" w:rsidP="008433EF">
      <w:r>
        <w:t>P</w:t>
      </w:r>
      <w:r>
        <w:t>lease refer to CoC Program (</w:t>
      </w:r>
      <w:hyperlink r:id="rId9" w:tgtFrame="_blank" w:history="1">
        <w:r>
          <w:rPr>
            <w:rStyle w:val="Hyperlink"/>
            <w:b/>
            <w:bCs/>
          </w:rPr>
          <w:t>§ 578.43 – 578.57</w:t>
        </w:r>
      </w:hyperlink>
      <w:r>
        <w:t>).</w:t>
      </w:r>
      <w:r>
        <w:t xml:space="preserve"> </w:t>
      </w:r>
      <w:r>
        <w:t>Below are some sections I think apply to your question.</w:t>
      </w:r>
    </w:p>
    <w:p w14:paraId="1F26064B" w14:textId="77777777" w:rsidR="008433EF" w:rsidRDefault="008433EF" w:rsidP="008433EF"/>
    <w:p w14:paraId="10CC3F3E" w14:textId="77777777" w:rsidR="008433EF" w:rsidRDefault="008433EF" w:rsidP="008433EF">
      <w:r>
        <w:t>In the Transitional Housing component you can use § 578.49 Leasing:</w:t>
      </w:r>
    </w:p>
    <w:p w14:paraId="06A2F8C1" w14:textId="77777777" w:rsidR="008433EF" w:rsidRDefault="008433EF" w:rsidP="008433EF">
      <w:r>
        <w:t xml:space="preserve">(1) Where the recipient or subrecipient is leasing the structure, or portions thereof, grant funds may be used to pay for 100 percent of the costs of leasing a structure or structures, or portions thereof, to provide housing or supportive services to homeless persons for up to 3 years. </w:t>
      </w:r>
      <w:r>
        <w:rPr>
          <w:u w:val="single"/>
        </w:rPr>
        <w:t>Leasing funds may not be used to lease units or structures owned by the recipient, subrecipient, their parent organization(s),</w:t>
      </w:r>
      <w:r>
        <w:t xml:space="preserve"> any other related organization(s), or organizations that are members of a partnership, where the partnership owns the structure, unless HUD authorized an exception for good cause. </w:t>
      </w:r>
    </w:p>
    <w:p w14:paraId="352DC5AD" w14:textId="77777777" w:rsidR="008433EF" w:rsidRDefault="008433EF" w:rsidP="008433EF">
      <w:r>
        <w:t xml:space="preserve">(2) Any request for an exception must include the following: (i) A description of how leasing these structures is in the best interest of the program; (ii) Supporting documentation showing that the leasing charges paid with grant funds are reasonable for the market; and (iii) A copy of the written policy for resolving disputes between the landlord and tenant, including a recusal for officers, agents, and staff who work for both the landlord and tenant. (b) Requirements. (1) Leasing structures. When grants are used to pay rent for all or part of a structure or structures, the rent paid must be reasonable in relation to rents being charged in the area for comparable space. In addition, the rent paid may not exceed rents currently being charged by the same owner for comparable unassisted space. (2) Leasing individual units. When grants are used to pay rent for individual housing units, the rent paid must be reasonable in relation to rents being charged for comparable units, taking into account the location, size, type, quality, amenities, facilities, and management services. In addition, the rents may not exceed rents currently being charged for comparable units, and the rent paid may not exceed HUD-determined fair market rents. (3) Utilities. If electricity, gas, and water are included in the rent, these utilities may be paid from leasing funds. If utilities are not provided by the landlord, these utility costs are an operating cost, except for supportive service facilities. If the structure is being used as a supportive service facility, then these utility costs are a supportive service cost. </w:t>
      </w:r>
    </w:p>
    <w:p w14:paraId="38055537" w14:textId="77777777" w:rsidR="008433EF" w:rsidRDefault="008433EF" w:rsidP="008433EF">
      <w:r>
        <w:t xml:space="preserve">(4) Security deposits and first and last month's rent. Recipients and subrecipients may use grant funds to pay security deposits, in an amount not to exceed 2 months of actual rent. An advance payment of the last month's rent may be provided to the landlord in addition to the security deposit and payment of the first month's rent. </w:t>
      </w:r>
    </w:p>
    <w:p w14:paraId="3FA2F0E1" w14:textId="77777777" w:rsidR="008433EF" w:rsidRDefault="008433EF" w:rsidP="008433EF">
      <w:r>
        <w:t xml:space="preserve">(5) Occupancy agreements and subleases. Occupancy agreements and subleases are required as specified in § 578.77(a). </w:t>
      </w:r>
    </w:p>
    <w:p w14:paraId="68FFAFAB" w14:textId="77777777" w:rsidR="008433EF" w:rsidRDefault="008433EF" w:rsidP="008433EF">
      <w:r>
        <w:t xml:space="preserve">(6) Calculation of occupancy charges and rent. Occupancy charges and rent from program participants must be calculated as provided in § 578.77. </w:t>
      </w:r>
    </w:p>
    <w:p w14:paraId="34031B59" w14:textId="77777777" w:rsidR="008433EF" w:rsidRDefault="008433EF" w:rsidP="008433EF">
      <w:r>
        <w:t xml:space="preserve">(7) Program income. Occupancy charges and rent collected from program participants are program income and may be used as provided under § 578.97. </w:t>
      </w:r>
    </w:p>
    <w:p w14:paraId="763CF235" w14:textId="77777777" w:rsidR="008433EF" w:rsidRDefault="008433EF" w:rsidP="008433EF">
      <w:r>
        <w:t xml:space="preserve">(8) Transition. Beginning in the first year awards are made under the Continuum of Care program, renewals of grants for leasing funds entered into under the authority of title IV, subtitle D of the Act as it existed before May 20, 2009, will be renewed either as grants for leasing or as rental assistance, depending on the characteristics of the project. Leasing funds will be renewed as rental assistance if the funds are used to pay rent on units where the lease is between the program participant and the landowner or sublessor. Projects requesting leasing funds will be renewed as leasing if the funds were </w:t>
      </w:r>
      <w:r>
        <w:lastRenderedPageBreak/>
        <w:t>used to lease a unit or structure and the lease is between the recipient or subrecipient and the landowner.</w:t>
      </w:r>
    </w:p>
    <w:p w14:paraId="1B24C308" w14:textId="77777777" w:rsidR="008433EF" w:rsidRDefault="008433EF" w:rsidP="008433EF"/>
    <w:p w14:paraId="6C5AD369" w14:textId="77777777" w:rsidR="008433EF" w:rsidRDefault="008433EF" w:rsidP="008433EF">
      <w:r>
        <w:t xml:space="preserve">And § 578.55 Operating grant funds may be used to pay the costs of the day-to-day operation of transitional and permanent housing in a single structure or individual housing units. </w:t>
      </w:r>
    </w:p>
    <w:p w14:paraId="736D4440" w14:textId="77777777" w:rsidR="008433EF" w:rsidRDefault="008433EF" w:rsidP="008433EF">
      <w:r>
        <w:t xml:space="preserve">Eligible costs. </w:t>
      </w:r>
    </w:p>
    <w:p w14:paraId="41E034AD" w14:textId="77777777" w:rsidR="008433EF" w:rsidRDefault="008433EF" w:rsidP="008433EF">
      <w:r>
        <w:t xml:space="preserve">(1) The maintenance and repair of housing; </w:t>
      </w:r>
    </w:p>
    <w:p w14:paraId="51519A34" w14:textId="77777777" w:rsidR="008433EF" w:rsidRDefault="008433EF" w:rsidP="008433EF">
      <w:r>
        <w:t xml:space="preserve">(2) Property taxes and insurance; </w:t>
      </w:r>
    </w:p>
    <w:p w14:paraId="42959010" w14:textId="77777777" w:rsidR="008433EF" w:rsidRDefault="008433EF" w:rsidP="008433EF">
      <w:r>
        <w:t xml:space="preserve">(3) Scheduled payments to a reserve for replacement of major systems of the housing (provided that the payments must be based on the useful life of the system and expected replacement cost); </w:t>
      </w:r>
    </w:p>
    <w:p w14:paraId="7EC4811D" w14:textId="77777777" w:rsidR="008433EF" w:rsidRDefault="008433EF" w:rsidP="008433EF">
      <w:r>
        <w:t xml:space="preserve">(4) Building security for a structure where more than 50 percent of the units or area is paid for with grant funds; </w:t>
      </w:r>
    </w:p>
    <w:p w14:paraId="539A246E" w14:textId="77777777" w:rsidR="008433EF" w:rsidRDefault="008433EF" w:rsidP="008433EF">
      <w:r>
        <w:t xml:space="preserve">(5) Electricity, gas, and water; </w:t>
      </w:r>
    </w:p>
    <w:p w14:paraId="5B746334" w14:textId="77777777" w:rsidR="008433EF" w:rsidRDefault="008433EF" w:rsidP="008433EF">
      <w:r>
        <w:t xml:space="preserve">(6) Furniture; and </w:t>
      </w:r>
    </w:p>
    <w:p w14:paraId="1B0EBA87" w14:textId="77777777" w:rsidR="008433EF" w:rsidRDefault="008433EF" w:rsidP="008433EF">
      <w:r>
        <w:t xml:space="preserve">(7) Equipment. </w:t>
      </w:r>
    </w:p>
    <w:p w14:paraId="1F169174" w14:textId="77777777" w:rsidR="008433EF" w:rsidRDefault="008433EF" w:rsidP="008433EF"/>
    <w:p w14:paraId="3FD6E2C3" w14:textId="77777777" w:rsidR="008433EF" w:rsidRDefault="008433EF" w:rsidP="008433EF">
      <w:r>
        <w:t xml:space="preserve">Ineligible costs: </w:t>
      </w:r>
      <w:r>
        <w:rPr>
          <w:u w:val="single"/>
        </w:rPr>
        <w:t>Program funds may not be used for rental assistance and operating costs in the same project</w:t>
      </w:r>
      <w:r>
        <w:t xml:space="preserve">. Program funds may not be used for the operating costs of emergency shelter- and supportive service-only facilities. Program funds may not be used for the maintenance and repair of housing where the costs of maintaining and repairing the housing are included in the lease. </w:t>
      </w:r>
    </w:p>
    <w:p w14:paraId="5B196F54" w14:textId="31C62197" w:rsidR="008433EF" w:rsidRPr="008433EF" w:rsidRDefault="008433EF" w:rsidP="008433EF">
      <w:pPr>
        <w:rPr>
          <w:rFonts w:eastAsia="Times New Roman"/>
        </w:rPr>
      </w:pPr>
    </w:p>
    <w:p w14:paraId="4BF35797" w14:textId="70B7A3DB" w:rsidR="008433EF" w:rsidRPr="008433EF" w:rsidRDefault="008433EF" w:rsidP="008433EF">
      <w:pPr>
        <w:rPr>
          <w:color w:val="FF0000"/>
        </w:rPr>
      </w:pPr>
      <w:r w:rsidRPr="008433EF">
        <w:rPr>
          <w:color w:val="FF0000"/>
        </w:rPr>
        <w:t>DV Bonus eligibility for RRH program:  Please confirm whether individuals or families who have experienced trauma related to domestic violence, dating violence, sexual assault, stalking, or other dangerous, traumatic, or life-threatening conditions in the PAST and become homeless due to that trauma (</w:t>
      </w:r>
      <w:proofErr w:type="spellStart"/>
      <w:r w:rsidRPr="008433EF">
        <w:rPr>
          <w:color w:val="FF0000"/>
        </w:rPr>
        <w:t>eg.</w:t>
      </w:r>
      <w:proofErr w:type="spellEnd"/>
      <w:r w:rsidRPr="008433EF">
        <w:rPr>
          <w:color w:val="FF0000"/>
        </w:rPr>
        <w:t xml:space="preserve"> job loss due to mental illness brought on by PTSD from past incidents) or if there has to be a current situation in the household they are leaving.</w:t>
      </w:r>
    </w:p>
    <w:p w14:paraId="51740D3A" w14:textId="77777777" w:rsidR="008433EF" w:rsidRPr="008433EF" w:rsidRDefault="008433EF" w:rsidP="008433EF">
      <w:pPr>
        <w:rPr>
          <w:color w:val="FF0000"/>
        </w:rPr>
      </w:pPr>
    </w:p>
    <w:p w14:paraId="6C2C5C55" w14:textId="77777777" w:rsidR="008433EF" w:rsidRPr="008433EF" w:rsidRDefault="008433EF" w:rsidP="008433EF">
      <w:pPr>
        <w:rPr>
          <w:color w:val="FF0000"/>
        </w:rPr>
      </w:pPr>
      <w:r w:rsidRPr="008433EF">
        <w:rPr>
          <w:color w:val="FF0000"/>
        </w:rPr>
        <w:t xml:space="preserve">•          </w:t>
      </w:r>
      <w:r w:rsidRPr="008433EF">
        <w:rPr>
          <w:i/>
          <w:iCs/>
          <w:color w:val="FF0000"/>
        </w:rPr>
        <w:t xml:space="preserve">Any individual or family who </w:t>
      </w:r>
    </w:p>
    <w:p w14:paraId="7CDF2927" w14:textId="77777777" w:rsidR="008433EF" w:rsidRPr="008433EF" w:rsidRDefault="008433EF" w:rsidP="008433EF">
      <w:pPr>
        <w:rPr>
          <w:color w:val="FF0000"/>
        </w:rPr>
      </w:pPr>
      <w:r w:rsidRPr="008433EF">
        <w:rPr>
          <w:color w:val="FF0000"/>
        </w:rPr>
        <w:t xml:space="preserve">•          </w:t>
      </w:r>
      <w:r w:rsidRPr="008433EF">
        <w:rPr>
          <w:i/>
          <w:iCs/>
          <w:color w:val="FF0000"/>
        </w:rPr>
        <w:t xml:space="preserve">(i) </w:t>
      </w:r>
      <w:r w:rsidRPr="008433EF">
        <w:rPr>
          <w:b/>
          <w:bCs/>
          <w:i/>
          <w:iCs/>
          <w:color w:val="FF0000"/>
        </w:rPr>
        <w:t>is experiencing trauma or lack of safety related to</w:t>
      </w:r>
      <w:r w:rsidRPr="008433EF">
        <w:rPr>
          <w:i/>
          <w:iCs/>
          <w:color w:val="FF0000"/>
        </w:rPr>
        <w:t xml:space="preserve">, or fleeing, or attempting to flee, domestic violence, dating violence, sexual assault, stalking, or other dangerous, traumatic, or life-threatening conditions related to the violence against the individual or a family member in the individual’s or family’s current housing situation, </w:t>
      </w:r>
      <w:r w:rsidRPr="008433EF">
        <w:rPr>
          <w:b/>
          <w:bCs/>
          <w:i/>
          <w:iCs/>
          <w:color w:val="FF0000"/>
        </w:rPr>
        <w:t xml:space="preserve">including where the health and safety of children are jeopardized; </w:t>
      </w:r>
    </w:p>
    <w:p w14:paraId="183ABC2D" w14:textId="77777777" w:rsidR="008433EF" w:rsidRPr="008433EF" w:rsidRDefault="008433EF" w:rsidP="008433EF">
      <w:pPr>
        <w:rPr>
          <w:color w:val="FF0000"/>
        </w:rPr>
      </w:pPr>
      <w:r w:rsidRPr="008433EF">
        <w:rPr>
          <w:color w:val="FF0000"/>
        </w:rPr>
        <w:t xml:space="preserve">•          </w:t>
      </w:r>
      <w:r w:rsidRPr="008433EF">
        <w:rPr>
          <w:i/>
          <w:iCs/>
          <w:color w:val="FF0000"/>
        </w:rPr>
        <w:t xml:space="preserve">(ii) Has no other safe residence; and </w:t>
      </w:r>
    </w:p>
    <w:p w14:paraId="2051B954" w14:textId="77777777" w:rsidR="008433EF" w:rsidRPr="008433EF" w:rsidRDefault="008433EF" w:rsidP="008433EF">
      <w:pPr>
        <w:rPr>
          <w:color w:val="FF0000"/>
        </w:rPr>
      </w:pPr>
      <w:r w:rsidRPr="008433EF">
        <w:rPr>
          <w:color w:val="FF0000"/>
        </w:rPr>
        <w:t xml:space="preserve">•          </w:t>
      </w:r>
      <w:r w:rsidRPr="008433EF">
        <w:rPr>
          <w:i/>
          <w:iCs/>
          <w:color w:val="FF0000"/>
        </w:rPr>
        <w:t>(iii) Lacks the resources to obtain other safe permanent housing. </w:t>
      </w:r>
    </w:p>
    <w:p w14:paraId="7A3FA115" w14:textId="77777777" w:rsidR="008433EF" w:rsidRPr="008433EF" w:rsidRDefault="008433EF" w:rsidP="008433EF"/>
    <w:p w14:paraId="6718FCA1" w14:textId="77777777" w:rsidR="008433EF" w:rsidRPr="008433EF" w:rsidRDefault="008433EF" w:rsidP="008433EF">
      <w:r w:rsidRPr="008433EF">
        <w:t xml:space="preserve">HUD’s language is clear – the verb is active and in the present tense – to be eligible as a survivor they have to be ‘experiencing trauma or lack of safety …’ [related to domestic violence in the] ‘current housing situation’. </w:t>
      </w:r>
    </w:p>
    <w:p w14:paraId="44A092C4" w14:textId="77777777" w:rsidR="008433EF" w:rsidRPr="008433EF" w:rsidRDefault="008433EF" w:rsidP="008433EF"/>
    <w:p w14:paraId="5F2B40B8" w14:textId="77777777" w:rsidR="008433EF" w:rsidRPr="008433EF" w:rsidRDefault="008433EF" w:rsidP="008433EF">
      <w:r w:rsidRPr="008433EF">
        <w:t xml:space="preserve">Trauma is insidious. It is possible for a household to be in a housing situation where they feel unsafe and that is re-traumatizing as a result of their DV history. If they can establish a lack of safety or current trauma (related to DV) in their current housing situation, then the household would be eligible. </w:t>
      </w:r>
    </w:p>
    <w:p w14:paraId="195EB2AE" w14:textId="77777777" w:rsidR="008433EF" w:rsidRPr="008433EF" w:rsidRDefault="008433EF" w:rsidP="008433EF"/>
    <w:p w14:paraId="60F97CE6" w14:textId="77777777" w:rsidR="008433EF" w:rsidRPr="008433EF" w:rsidRDefault="008433EF" w:rsidP="008433EF">
      <w:r w:rsidRPr="008433EF">
        <w:t>Safety in housing is what is paramount here – if they are experiencing a lack of safety (related to DV) in their housing and that is causing trauma, then they could and should be served.</w:t>
      </w:r>
    </w:p>
    <w:p w14:paraId="5E396C87" w14:textId="77777777" w:rsidR="008433EF" w:rsidRPr="008433EF" w:rsidRDefault="008433EF" w:rsidP="008433EF"/>
    <w:p w14:paraId="3CA822AE" w14:textId="77777777" w:rsidR="008433EF" w:rsidRPr="00337D17" w:rsidRDefault="008433EF" w:rsidP="008433EF">
      <w:pPr>
        <w:rPr>
          <w:color w:val="FF0000"/>
        </w:rPr>
      </w:pPr>
      <w:r w:rsidRPr="008433EF">
        <w:rPr>
          <w:color w:val="FF0000"/>
        </w:rPr>
        <w:t xml:space="preserve">What admin costs are allowable under this grant?  </w:t>
      </w:r>
    </w:p>
    <w:p w14:paraId="5AB5A2F9" w14:textId="77777777" w:rsidR="008433EF" w:rsidRDefault="008433EF" w:rsidP="008433EF"/>
    <w:p w14:paraId="5C83A628" w14:textId="64A0C615" w:rsidR="008433EF" w:rsidRDefault="008433EF" w:rsidP="008433EF">
      <w:r w:rsidRPr="008433EF">
        <w:lastRenderedPageBreak/>
        <w:t xml:space="preserve">10% (with a 50% split going to the Homeless Trust) </w:t>
      </w:r>
      <w:r w:rsidR="00337D17">
        <w:t>unless you have a federally approved indirect cost rate.</w:t>
      </w:r>
    </w:p>
    <w:p w14:paraId="6B53A32A" w14:textId="77777777" w:rsidR="008433EF" w:rsidRDefault="008433EF" w:rsidP="008433EF"/>
    <w:p w14:paraId="20A6680C" w14:textId="77777777" w:rsidR="008433EF" w:rsidRPr="00337D17" w:rsidRDefault="008433EF" w:rsidP="008433EF">
      <w:pPr>
        <w:rPr>
          <w:b/>
          <w:bCs/>
          <w:color w:val="FF0000"/>
        </w:rPr>
      </w:pPr>
      <w:r w:rsidRPr="008433EF">
        <w:rPr>
          <w:color w:val="FF0000"/>
        </w:rPr>
        <w:t xml:space="preserve">Are related finance and data management/reporting/compliance considered admin or program costs? </w:t>
      </w:r>
      <w:r w:rsidRPr="008433EF">
        <w:rPr>
          <w:b/>
          <w:bCs/>
          <w:color w:val="FF0000"/>
        </w:rPr>
        <w:t> </w:t>
      </w:r>
    </w:p>
    <w:p w14:paraId="2DEB3532" w14:textId="77777777" w:rsidR="008433EF" w:rsidRDefault="008433EF" w:rsidP="008433EF">
      <w:pPr>
        <w:rPr>
          <w:b/>
          <w:bCs/>
        </w:rPr>
      </w:pPr>
    </w:p>
    <w:p w14:paraId="5C05633D" w14:textId="2AF25673" w:rsidR="008433EF" w:rsidRPr="008433EF" w:rsidRDefault="008433EF" w:rsidP="008433EF">
      <w:r w:rsidRPr="008433EF">
        <w:t>Under the Project Administration program component, CoC recipients and subrecipients may use these funds to support:</w:t>
      </w:r>
    </w:p>
    <w:p w14:paraId="55BD0016" w14:textId="77777777" w:rsidR="008433EF" w:rsidRPr="008433EF" w:rsidRDefault="008433EF" w:rsidP="008433EF">
      <w:pPr>
        <w:numPr>
          <w:ilvl w:val="0"/>
          <w:numId w:val="20"/>
        </w:numPr>
      </w:pPr>
      <w:r w:rsidRPr="008433EF">
        <w:t>General management, oversight, and coordination (</w:t>
      </w:r>
      <w:hyperlink r:id="rId10" w:tgtFrame="_blank" w:history="1">
        <w:r w:rsidRPr="008433EF">
          <w:rPr>
            <w:rStyle w:val="Hyperlink"/>
            <w:b/>
            <w:bCs/>
          </w:rPr>
          <w:t>§ 578.59(a)(1)</w:t>
        </w:r>
      </w:hyperlink>
      <w:r w:rsidRPr="008433EF">
        <w:t>)</w:t>
      </w:r>
    </w:p>
    <w:p w14:paraId="4EB93F88" w14:textId="77777777" w:rsidR="008433EF" w:rsidRPr="008433EF" w:rsidRDefault="008433EF" w:rsidP="008433EF">
      <w:pPr>
        <w:numPr>
          <w:ilvl w:val="0"/>
          <w:numId w:val="20"/>
        </w:numPr>
      </w:pPr>
      <w:r w:rsidRPr="008433EF">
        <w:t>Training on CoC requirements and attending HUD-sponsored CoC trainings (</w:t>
      </w:r>
      <w:hyperlink r:id="rId11" w:tgtFrame="_blank" w:history="1">
        <w:r w:rsidRPr="008433EF">
          <w:rPr>
            <w:rStyle w:val="Hyperlink"/>
            <w:b/>
            <w:bCs/>
          </w:rPr>
          <w:t>§ 578.59(a)(2)</w:t>
        </w:r>
      </w:hyperlink>
      <w:r w:rsidRPr="008433EF">
        <w:t>)</w:t>
      </w:r>
    </w:p>
    <w:p w14:paraId="33C721B1" w14:textId="77777777" w:rsidR="008433EF" w:rsidRPr="008433EF" w:rsidRDefault="008433EF" w:rsidP="008433EF">
      <w:pPr>
        <w:numPr>
          <w:ilvl w:val="0"/>
          <w:numId w:val="20"/>
        </w:numPr>
      </w:pPr>
      <w:r w:rsidRPr="008433EF">
        <w:t>Carrying out environmental reviews (</w:t>
      </w:r>
      <w:hyperlink r:id="rId12" w:tgtFrame="_blank" w:history="1">
        <w:r w:rsidRPr="008433EF">
          <w:rPr>
            <w:rStyle w:val="Hyperlink"/>
            <w:b/>
            <w:bCs/>
          </w:rPr>
          <w:t>§ 578.59(a)(3)</w:t>
        </w:r>
      </w:hyperlink>
      <w:r w:rsidRPr="008433EF">
        <w:t>)</w:t>
      </w:r>
    </w:p>
    <w:p w14:paraId="7964629B" w14:textId="77777777" w:rsidR="008433EF" w:rsidRPr="008433EF" w:rsidRDefault="008433EF" w:rsidP="008433EF">
      <w:r w:rsidRPr="008433EF">
        <w:t>Ineligible project administration costs include staff and overhead costs directly related to carrying out other eligible activities under the CoC Program (</w:t>
      </w:r>
      <w:hyperlink r:id="rId13" w:tgtFrame="_blank" w:history="1">
        <w:r w:rsidRPr="008433EF">
          <w:rPr>
            <w:rStyle w:val="Hyperlink"/>
            <w:b/>
            <w:bCs/>
          </w:rPr>
          <w:t>§ 578.43 – 578.57</w:t>
        </w:r>
      </w:hyperlink>
      <w:r w:rsidRPr="008433EF">
        <w:t>) (e.g., Leasing, Rental Assistance, Supportive Services) should be charged to those budget line items.</w:t>
      </w:r>
    </w:p>
    <w:p w14:paraId="1B27D650" w14:textId="77777777" w:rsidR="008433EF" w:rsidRPr="008433EF" w:rsidRDefault="008433EF" w:rsidP="008433EF"/>
    <w:p w14:paraId="2D4C1B5D" w14:textId="77777777" w:rsidR="008433EF" w:rsidRPr="00337D17" w:rsidRDefault="008433EF" w:rsidP="008433EF">
      <w:pPr>
        <w:rPr>
          <w:color w:val="FF0000"/>
        </w:rPr>
      </w:pPr>
      <w:r w:rsidRPr="008433EF">
        <w:rPr>
          <w:color w:val="FF0000"/>
        </w:rPr>
        <w:t xml:space="preserve">Please confirm that for the DV Bonus TH:RRH we can provide RRH to both households in our emergency and transitional housing programs? </w:t>
      </w:r>
    </w:p>
    <w:p w14:paraId="52D64A43" w14:textId="77777777" w:rsidR="008433EF" w:rsidRDefault="008433EF" w:rsidP="008433EF"/>
    <w:p w14:paraId="6255743B" w14:textId="5BC294E0" w:rsidR="008433EF" w:rsidRPr="008433EF" w:rsidRDefault="008433EF" w:rsidP="008433EF">
      <w:r w:rsidRPr="008433EF">
        <w:t>TH:RRH program participants can circumvent TH and receive RRH directly.</w:t>
      </w:r>
    </w:p>
    <w:p w14:paraId="0358EBFB" w14:textId="77777777" w:rsidR="008433EF" w:rsidRPr="008433EF" w:rsidRDefault="008433EF" w:rsidP="008433EF"/>
    <w:p w14:paraId="0561A8EB" w14:textId="01EBD3F8" w:rsidR="008433EF" w:rsidRPr="00337D17" w:rsidRDefault="008433EF" w:rsidP="008433EF">
      <w:pPr>
        <w:rPr>
          <w:color w:val="FF0000"/>
        </w:rPr>
      </w:pPr>
      <w:r w:rsidRPr="008433EF">
        <w:rPr>
          <w:color w:val="FF0000"/>
        </w:rPr>
        <w:t>For the</w:t>
      </w:r>
      <w:r w:rsidRPr="008433EF">
        <w:rPr>
          <w:b/>
          <w:bCs/>
          <w:color w:val="FF0000"/>
        </w:rPr>
        <w:t xml:space="preserve"> transitional</w:t>
      </w:r>
      <w:r w:rsidRPr="008433EF">
        <w:rPr>
          <w:color w:val="FF0000"/>
        </w:rPr>
        <w:t xml:space="preserve"> housing option, there is no budget category for the actual housing costs.  Is this per diem or would it have to be broken down by utilities, insurance, maintenance, etc.? (Assuming we do a set aside in our building).</w:t>
      </w:r>
    </w:p>
    <w:p w14:paraId="6E3138DF" w14:textId="77777777" w:rsidR="008433EF" w:rsidRPr="008433EF" w:rsidRDefault="008433EF" w:rsidP="008433EF"/>
    <w:p w14:paraId="0E9A03B6" w14:textId="77777777" w:rsidR="008433EF" w:rsidRPr="008433EF" w:rsidRDefault="008433EF" w:rsidP="008433EF">
      <w:r w:rsidRPr="008433EF">
        <w:t>All of the CoC eligible costs/activities are permitted in TH projects:</w:t>
      </w:r>
    </w:p>
    <w:p w14:paraId="458D0368" w14:textId="77777777" w:rsidR="008433EF" w:rsidRPr="008433EF" w:rsidRDefault="008433EF" w:rsidP="008433EF"/>
    <w:p w14:paraId="4DC87FA7" w14:textId="77777777" w:rsidR="008433EF" w:rsidRPr="008433EF" w:rsidRDefault="008433EF" w:rsidP="008433EF">
      <w:r w:rsidRPr="008433EF">
        <w:t>Leasing</w:t>
      </w:r>
    </w:p>
    <w:p w14:paraId="1FD5FF77" w14:textId="77777777" w:rsidR="008433EF" w:rsidRPr="008433EF" w:rsidRDefault="008433EF" w:rsidP="008433EF">
      <w:r w:rsidRPr="008433EF">
        <w:t>Rental Assistance</w:t>
      </w:r>
    </w:p>
    <w:p w14:paraId="6FB62AE1" w14:textId="77777777" w:rsidR="008433EF" w:rsidRPr="008433EF" w:rsidRDefault="008433EF" w:rsidP="008433EF">
      <w:r w:rsidRPr="008433EF">
        <w:t>Supportive Services</w:t>
      </w:r>
    </w:p>
    <w:p w14:paraId="3A97F1D9" w14:textId="77777777" w:rsidR="008433EF" w:rsidRPr="008433EF" w:rsidRDefault="008433EF" w:rsidP="008433EF">
      <w:r w:rsidRPr="008433EF">
        <w:t>Operating Costs</w:t>
      </w:r>
    </w:p>
    <w:p w14:paraId="7225F243" w14:textId="77777777" w:rsidR="008433EF" w:rsidRPr="008433EF" w:rsidRDefault="008433EF" w:rsidP="008433EF">
      <w:r w:rsidRPr="008433EF">
        <w:t>HMIS</w:t>
      </w:r>
    </w:p>
    <w:p w14:paraId="34CBEBC7" w14:textId="77777777" w:rsidR="008433EF" w:rsidRPr="008433EF" w:rsidRDefault="008433EF" w:rsidP="008433EF">
      <w:r w:rsidRPr="008433EF">
        <w:t>Project Administration</w:t>
      </w:r>
    </w:p>
    <w:p w14:paraId="0E20F974" w14:textId="77777777" w:rsidR="008433EF" w:rsidRPr="008433EF" w:rsidRDefault="008433EF" w:rsidP="008433EF"/>
    <w:p w14:paraId="220E878C" w14:textId="77777777" w:rsidR="008433EF" w:rsidRPr="008433EF" w:rsidRDefault="008433EF" w:rsidP="008433EF">
      <w:r w:rsidRPr="008433EF">
        <w:t xml:space="preserve">For more information on each category visit: </w:t>
      </w:r>
      <w:hyperlink r:id="rId14" w:anchor=":~:text=CoC%20eligible%20costs%2Factivities%20are%3A%201%20Acquisition%202%20Rehabilitation,Services%207%20Operating%20Costs%208%20HMIS%20More%20items" w:history="1">
        <w:r w:rsidRPr="008433EF">
          <w:rPr>
            <w:rStyle w:val="Hyperlink"/>
          </w:rPr>
          <w:t>CoC Eligible Activities - List of CoC Eligible Activities - HUD Exchange</w:t>
        </w:r>
      </w:hyperlink>
    </w:p>
    <w:p w14:paraId="2272C660" w14:textId="77777777" w:rsidR="008433EF" w:rsidRPr="008433EF" w:rsidRDefault="008433EF" w:rsidP="008433EF"/>
    <w:p w14:paraId="736428C1" w14:textId="77777777" w:rsidR="008433EF" w:rsidRPr="00337D17" w:rsidRDefault="008433EF" w:rsidP="008433EF">
      <w:pPr>
        <w:rPr>
          <w:color w:val="FF0000"/>
        </w:rPr>
      </w:pPr>
      <w:r w:rsidRPr="008433EF">
        <w:rPr>
          <w:color w:val="FF0000"/>
        </w:rPr>
        <w:t xml:space="preserve">Are clients required to pay 30% of their income in the DV Bonus RRH for housing and utilities or can assistance be 100%? </w:t>
      </w:r>
    </w:p>
    <w:p w14:paraId="1129027D" w14:textId="77777777" w:rsidR="008433EF" w:rsidRDefault="008433EF" w:rsidP="008433EF"/>
    <w:p w14:paraId="2831136A" w14:textId="647C572B" w:rsidR="008433EF" w:rsidRPr="008433EF" w:rsidRDefault="008433EF" w:rsidP="008433EF">
      <w:r w:rsidRPr="008433EF">
        <w:t xml:space="preserve">Respondents will be required to comply with CoC RRH Standards of Care found here: </w:t>
      </w:r>
      <w:hyperlink r:id="rId15" w:history="1">
        <w:r w:rsidRPr="008433EF">
          <w:rPr>
            <w:rStyle w:val="Hyperlink"/>
          </w:rPr>
          <w:t>https://www.homelesstrust.org/resources-homeless/library/providers/standards-of-care/rapid-rehousing.pdf</w:t>
        </w:r>
      </w:hyperlink>
      <w:r w:rsidRPr="008433EF">
        <w:t>. Our standards use a model whereby tenants with income slowly assume increasing responsibility towards rent; it also emphasizes utilizing case management/supportive employment to get tenants sufficient income sources to assume the rent.</w:t>
      </w:r>
    </w:p>
    <w:p w14:paraId="7DC2885F" w14:textId="77777777" w:rsidR="008433EF" w:rsidRPr="008433EF" w:rsidRDefault="008433EF" w:rsidP="008433EF"/>
    <w:p w14:paraId="6CC517D0" w14:textId="77777777" w:rsidR="008433EF" w:rsidRPr="00337D17" w:rsidRDefault="008433EF" w:rsidP="008433EF">
      <w:pPr>
        <w:rPr>
          <w:color w:val="FF0000"/>
        </w:rPr>
      </w:pPr>
      <w:r w:rsidRPr="008433EF">
        <w:rPr>
          <w:color w:val="FF0000"/>
        </w:rPr>
        <w:t xml:space="preserve">Can we use Food &amp; Beverage contract expenditures as match for eligible budget items in this grant? </w:t>
      </w:r>
    </w:p>
    <w:p w14:paraId="1758214D" w14:textId="77777777" w:rsidR="008433EF" w:rsidRDefault="008433EF" w:rsidP="008433EF"/>
    <w:p w14:paraId="7D75802C" w14:textId="77777777" w:rsidR="0078164B" w:rsidRDefault="008433EF" w:rsidP="008433EF">
      <w:r w:rsidRPr="008433EF">
        <w:t xml:space="preserve">All costs paid for with matching funds must be for activities that are eligible under the CoC Program. </w:t>
      </w:r>
    </w:p>
    <w:p w14:paraId="1C4CC6B3" w14:textId="77777777" w:rsidR="0078164B" w:rsidRDefault="0078164B" w:rsidP="008433EF"/>
    <w:p w14:paraId="2AF68D90" w14:textId="1FC3241A" w:rsidR="008433EF" w:rsidRPr="008433EF" w:rsidRDefault="008433EF" w:rsidP="008433EF">
      <w:pPr>
        <w:rPr>
          <w:color w:val="FF0000"/>
        </w:rPr>
      </w:pPr>
      <w:r w:rsidRPr="008433EF">
        <w:rPr>
          <w:color w:val="FF0000"/>
        </w:rPr>
        <w:lastRenderedPageBreak/>
        <w:t xml:space="preserve">Can we use admin costs as match?  </w:t>
      </w:r>
      <w:proofErr w:type="spellStart"/>
      <w:r w:rsidRPr="008433EF">
        <w:rPr>
          <w:color w:val="FF0000"/>
        </w:rPr>
        <w:t>eg.</w:t>
      </w:r>
      <w:proofErr w:type="spellEnd"/>
      <w:r w:rsidRPr="008433EF">
        <w:rPr>
          <w:color w:val="FF0000"/>
        </w:rPr>
        <w:t xml:space="preserve"> liability insurance, finance staff, audit, accounting, etc. </w:t>
      </w:r>
    </w:p>
    <w:p w14:paraId="4225B8BE" w14:textId="77777777" w:rsidR="00337D17" w:rsidRDefault="008433EF" w:rsidP="008433EF">
      <w:pPr>
        <w:rPr>
          <w:color w:val="FF0000"/>
        </w:rPr>
      </w:pPr>
      <w:r w:rsidRPr="008433EF">
        <w:rPr>
          <w:color w:val="FF0000"/>
        </w:rPr>
        <w:t xml:space="preserve">Match is all cash or in-kind resources contributed to the grant. </w:t>
      </w:r>
    </w:p>
    <w:p w14:paraId="2CD4E652" w14:textId="77777777" w:rsidR="00337D17" w:rsidRDefault="00337D17" w:rsidP="008433EF">
      <w:pPr>
        <w:rPr>
          <w:color w:val="FF0000"/>
        </w:rPr>
      </w:pPr>
    </w:p>
    <w:p w14:paraId="4FA19A43" w14:textId="3C2D319B" w:rsidR="008433EF" w:rsidRPr="008433EF" w:rsidRDefault="008433EF" w:rsidP="008433EF">
      <w:r w:rsidRPr="008433EF">
        <w:t xml:space="preserve">All grant funds must be matched with an amount no less than 25 percent of the awarded grant amount (excluding the amount awarded to the leasing budget line item). Match resources may be from public (not statutorily prohibited by the funding agency from being used as a match) or private resources. </w:t>
      </w:r>
    </w:p>
    <w:p w14:paraId="05A7EB16" w14:textId="77777777" w:rsidR="008433EF" w:rsidRPr="008433EF" w:rsidRDefault="008433EF" w:rsidP="008433EF"/>
    <w:p w14:paraId="15F2704E" w14:textId="77777777" w:rsidR="008433EF" w:rsidRPr="008433EF" w:rsidRDefault="008433EF" w:rsidP="008433EF">
      <w:r w:rsidRPr="008433EF">
        <w:t>Examples A and B are calculations of match with and without a leasing budget line item.</w:t>
      </w:r>
    </w:p>
    <w:p w14:paraId="10CB147D" w14:textId="77777777" w:rsidR="008433EF" w:rsidRPr="008433EF" w:rsidRDefault="008433EF" w:rsidP="008433EF"/>
    <w:p w14:paraId="59DDC312" w14:textId="77777777" w:rsidR="008433EF" w:rsidRPr="008433EF" w:rsidRDefault="008433EF" w:rsidP="008433EF">
      <w:r w:rsidRPr="008433EF">
        <w:t>EXAMPLE A</w:t>
      </w:r>
    </w:p>
    <w:p w14:paraId="2B916434" w14:textId="77777777" w:rsidR="008433EF" w:rsidRPr="008433EF" w:rsidRDefault="008433EF" w:rsidP="008433EF">
      <w:r w:rsidRPr="008433EF">
        <w:t>Total amount requested from HUD (without leasing)</w:t>
      </w:r>
    </w:p>
    <w:p w14:paraId="03BDF07E" w14:textId="77777777" w:rsidR="008433EF" w:rsidRPr="008433EF" w:rsidRDefault="008433EF" w:rsidP="008433EF"/>
    <w:p w14:paraId="28BFBDD5" w14:textId="77777777" w:rsidR="008433EF" w:rsidRPr="008433EF" w:rsidRDefault="008433EF" w:rsidP="008433EF">
      <w:r w:rsidRPr="008433EF">
        <w:t>Rental Assistance funding = $95,000</w:t>
      </w:r>
    </w:p>
    <w:p w14:paraId="5EE266B9" w14:textId="77777777" w:rsidR="008433EF" w:rsidRPr="008433EF" w:rsidRDefault="008433EF" w:rsidP="008433EF">
      <w:r w:rsidRPr="008433EF">
        <w:t>Project Administration funding = $5,000</w:t>
      </w:r>
    </w:p>
    <w:p w14:paraId="2E8BB8F3" w14:textId="77777777" w:rsidR="008433EF" w:rsidRPr="008433EF" w:rsidRDefault="008433EF" w:rsidP="008433EF">
      <w:r w:rsidRPr="008433EF">
        <w:t>Total amount requested = $100,000</w:t>
      </w:r>
    </w:p>
    <w:p w14:paraId="414311C7" w14:textId="77777777" w:rsidR="008433EF" w:rsidRPr="008433EF" w:rsidRDefault="008433EF" w:rsidP="008433EF">
      <w:r w:rsidRPr="008433EF">
        <w:t>Total amount requested from HUD x .25 = Minimum Match Requirement</w:t>
      </w:r>
    </w:p>
    <w:p w14:paraId="450DCE6B" w14:textId="77777777" w:rsidR="008433EF" w:rsidRPr="008433EF" w:rsidRDefault="008433EF" w:rsidP="008433EF"/>
    <w:p w14:paraId="3DB4B184" w14:textId="77777777" w:rsidR="008433EF" w:rsidRPr="008433EF" w:rsidRDefault="008433EF" w:rsidP="008433EF">
      <w:r w:rsidRPr="008433EF">
        <w:t>$100,000 x .25 = $25,000</w:t>
      </w:r>
    </w:p>
    <w:p w14:paraId="580AFC34" w14:textId="77777777" w:rsidR="008433EF" w:rsidRPr="008433EF" w:rsidRDefault="008433EF" w:rsidP="008433EF"/>
    <w:p w14:paraId="387A3C45" w14:textId="77777777" w:rsidR="008433EF" w:rsidRPr="008433EF" w:rsidRDefault="008433EF" w:rsidP="008433EF">
      <w:r w:rsidRPr="008433EF">
        <w:t>EXAMPLE B</w:t>
      </w:r>
    </w:p>
    <w:p w14:paraId="4466F3B0" w14:textId="77777777" w:rsidR="008433EF" w:rsidRPr="008433EF" w:rsidRDefault="008433EF" w:rsidP="008433EF">
      <w:r w:rsidRPr="008433EF">
        <w:t>Total amount requested from HUD (with leasing)</w:t>
      </w:r>
    </w:p>
    <w:p w14:paraId="3C9F91DC" w14:textId="77777777" w:rsidR="008433EF" w:rsidRPr="008433EF" w:rsidRDefault="008433EF" w:rsidP="008433EF"/>
    <w:p w14:paraId="50AB867A" w14:textId="77777777" w:rsidR="008433EF" w:rsidRPr="008433EF" w:rsidRDefault="008433EF" w:rsidP="008433EF">
      <w:r w:rsidRPr="008433EF">
        <w:t>Leasing funding = $40,000</w:t>
      </w:r>
    </w:p>
    <w:p w14:paraId="5F52E331" w14:textId="77777777" w:rsidR="008433EF" w:rsidRPr="008433EF" w:rsidRDefault="008433EF" w:rsidP="008433EF">
      <w:r w:rsidRPr="008433EF">
        <w:t>Supportive Services funding = $55,000</w:t>
      </w:r>
    </w:p>
    <w:p w14:paraId="09E2A5B9" w14:textId="77777777" w:rsidR="008433EF" w:rsidRPr="008433EF" w:rsidRDefault="008433EF" w:rsidP="008433EF">
      <w:r w:rsidRPr="008433EF">
        <w:t>Project Administration funding = $5,000</w:t>
      </w:r>
    </w:p>
    <w:p w14:paraId="56FC524B" w14:textId="77777777" w:rsidR="008433EF" w:rsidRPr="008433EF" w:rsidRDefault="008433EF" w:rsidP="008433EF">
      <w:r w:rsidRPr="008433EF">
        <w:t>Total amount requested = $100,000</w:t>
      </w:r>
    </w:p>
    <w:p w14:paraId="28EDE7E8" w14:textId="77777777" w:rsidR="008433EF" w:rsidRPr="008433EF" w:rsidRDefault="008433EF" w:rsidP="008433EF">
      <w:r w:rsidRPr="008433EF">
        <w:t>Total amount requested from HUD, excluding amount requested for leasing</w:t>
      </w:r>
    </w:p>
    <w:p w14:paraId="49E66EE5" w14:textId="77777777" w:rsidR="008433EF" w:rsidRPr="008433EF" w:rsidRDefault="008433EF" w:rsidP="008433EF"/>
    <w:p w14:paraId="28392933" w14:textId="77777777" w:rsidR="008433EF" w:rsidRPr="008433EF" w:rsidRDefault="008433EF" w:rsidP="008433EF">
      <w:r w:rsidRPr="008433EF">
        <w:t>$100,000 (Total Amount Requested) - $40,000 (Leasing Funding) = $60,000</w:t>
      </w:r>
    </w:p>
    <w:p w14:paraId="33EE537C" w14:textId="77777777" w:rsidR="008433EF" w:rsidRPr="008433EF" w:rsidRDefault="008433EF" w:rsidP="008433EF">
      <w:r w:rsidRPr="008433EF">
        <w:t>Total amount requested from HUD x .25 = Minimum Match Requirement</w:t>
      </w:r>
    </w:p>
    <w:p w14:paraId="59057A3C" w14:textId="77777777" w:rsidR="008433EF" w:rsidRPr="008433EF" w:rsidRDefault="008433EF" w:rsidP="008433EF"/>
    <w:p w14:paraId="422F46DC" w14:textId="77777777" w:rsidR="008433EF" w:rsidRPr="008433EF" w:rsidRDefault="008433EF" w:rsidP="008433EF">
      <w:r w:rsidRPr="008433EF">
        <w:t>$60,000 x .25 = $15,000</w:t>
      </w:r>
    </w:p>
    <w:p w14:paraId="2ABE3174" w14:textId="77777777" w:rsidR="008433EF" w:rsidRPr="008433EF" w:rsidRDefault="008433EF" w:rsidP="008433EF"/>
    <w:p w14:paraId="1D27434F" w14:textId="777A5017" w:rsidR="0078164B" w:rsidRPr="00337D17" w:rsidRDefault="008433EF" w:rsidP="008433EF">
      <w:pPr>
        <w:rPr>
          <w:color w:val="FF0000"/>
        </w:rPr>
      </w:pPr>
      <w:r w:rsidRPr="008433EF">
        <w:rPr>
          <w:color w:val="FF0000"/>
        </w:rPr>
        <w:t xml:space="preserve">If we provide RRH to clients currently at our shelter, can supportive services (service assessment, housing search/counseling, employment services etc.) be budgeted from this grant and if so, for what period?  </w:t>
      </w:r>
      <w:proofErr w:type="spellStart"/>
      <w:r w:rsidR="00337D17" w:rsidRPr="008433EF">
        <w:rPr>
          <w:color w:val="FF0000"/>
        </w:rPr>
        <w:t>E</w:t>
      </w:r>
      <w:r w:rsidRPr="008433EF">
        <w:rPr>
          <w:color w:val="FF0000"/>
        </w:rPr>
        <w:t>g.</w:t>
      </w:r>
      <w:proofErr w:type="spellEnd"/>
      <w:r w:rsidRPr="008433EF">
        <w:rPr>
          <w:color w:val="FF0000"/>
        </w:rPr>
        <w:t xml:space="preserve"> </w:t>
      </w:r>
      <w:r w:rsidR="00337D17" w:rsidRPr="008433EF">
        <w:rPr>
          <w:color w:val="FF0000"/>
        </w:rPr>
        <w:t>S</w:t>
      </w:r>
      <w:r w:rsidRPr="008433EF">
        <w:rPr>
          <w:color w:val="FF0000"/>
        </w:rPr>
        <w:t xml:space="preserve">ervices provided for 5 months prior to RRH placement if it took that long to reduce all barriers to housing and locate the housing? </w:t>
      </w:r>
    </w:p>
    <w:p w14:paraId="74A78E4F" w14:textId="77777777" w:rsidR="0078164B" w:rsidRDefault="0078164B" w:rsidP="008433EF"/>
    <w:p w14:paraId="5D7BE636" w14:textId="064DE06E" w:rsidR="008433EF" w:rsidRDefault="008433EF" w:rsidP="008433EF">
      <w:r w:rsidRPr="008433EF">
        <w:t>Yes, the project can enter the client into HMIS (or alternative software) and start providing services and requesting reimbursement for screening, Housing Navigation/counseling, employment services, obtaining documents… Once the client moves into an apartment, the provider simply reflects the Move-In Date in HMIS (or alternative software), and continues providing services. If providers do not use HMIS they must have an equivalent database that utilizes the same universal data elements as HMIS, for example, CAHSD uses OSNIUM and that MIS has a homeless module that can produce the same Annual Progress Report produced by HMIS.</w:t>
      </w:r>
    </w:p>
    <w:p w14:paraId="60B9A786" w14:textId="77777777" w:rsidR="0078164B" w:rsidRDefault="0078164B" w:rsidP="008433EF"/>
    <w:p w14:paraId="78B0447D" w14:textId="5F6254F9" w:rsidR="0078164B" w:rsidRPr="008433EF" w:rsidRDefault="0078164B" w:rsidP="008433EF">
      <w:r>
        <w:t xml:space="preserve">New HMIS standards adopted by HUD will create two types of RRH HMIS projects beginning 10/1/23, RRH with Rental Assistance, and RRH without </w:t>
      </w:r>
      <w:r>
        <w:t>Rental Assistance</w:t>
      </w:r>
      <w:r>
        <w:t>.</w:t>
      </w:r>
    </w:p>
    <w:p w14:paraId="753B92DC" w14:textId="77777777" w:rsidR="008433EF" w:rsidRPr="008433EF" w:rsidRDefault="008433EF" w:rsidP="008433EF"/>
    <w:p w14:paraId="097DFBAF" w14:textId="57D1E40F" w:rsidR="008433EF" w:rsidRPr="008433EF" w:rsidRDefault="008433EF" w:rsidP="008433EF">
      <w:pPr>
        <w:rPr>
          <w:color w:val="FF0000"/>
        </w:rPr>
      </w:pPr>
      <w:r w:rsidRPr="008433EF">
        <w:rPr>
          <w:color w:val="FF0000"/>
        </w:rPr>
        <w:t xml:space="preserve">What kind of </w:t>
      </w:r>
      <w:r w:rsidR="00337D17">
        <w:rPr>
          <w:color w:val="FF0000"/>
        </w:rPr>
        <w:t>“</w:t>
      </w:r>
      <w:r w:rsidRPr="008433EF">
        <w:rPr>
          <w:color w:val="FF0000"/>
        </w:rPr>
        <w:t>food</w:t>
      </w:r>
      <w:r w:rsidR="00337D17">
        <w:rPr>
          <w:color w:val="FF0000"/>
        </w:rPr>
        <w:t>”</w:t>
      </w:r>
      <w:r w:rsidRPr="008433EF">
        <w:rPr>
          <w:color w:val="FF0000"/>
        </w:rPr>
        <w:t> costs can be covered in RRH?</w:t>
      </w:r>
    </w:p>
    <w:p w14:paraId="2586EC2B" w14:textId="77777777" w:rsidR="00337D17" w:rsidRDefault="00337D17" w:rsidP="008433EF"/>
    <w:p w14:paraId="412D227E" w14:textId="7E94978D" w:rsidR="008433EF" w:rsidRPr="008433EF" w:rsidRDefault="008433EF" w:rsidP="008433EF">
      <w:r w:rsidRPr="008433EF">
        <w:t>Four of the CoC eligible costs/activities are permitted in RRH projects:</w:t>
      </w:r>
    </w:p>
    <w:p w14:paraId="7B912545" w14:textId="77777777" w:rsidR="008433EF" w:rsidRPr="008433EF" w:rsidRDefault="008433EF" w:rsidP="008433EF"/>
    <w:p w14:paraId="0A4FBEAE" w14:textId="77777777" w:rsidR="008433EF" w:rsidRPr="008433EF" w:rsidRDefault="008433EF" w:rsidP="008433EF">
      <w:r w:rsidRPr="008433EF">
        <w:t>Rental Assistance</w:t>
      </w:r>
    </w:p>
    <w:p w14:paraId="3052E15E" w14:textId="77777777" w:rsidR="008433EF" w:rsidRPr="008433EF" w:rsidRDefault="008433EF" w:rsidP="008433EF">
      <w:r w:rsidRPr="008433EF">
        <w:t>Supportive Services</w:t>
      </w:r>
    </w:p>
    <w:p w14:paraId="769CA9EA" w14:textId="77777777" w:rsidR="008433EF" w:rsidRPr="008433EF" w:rsidRDefault="008433EF" w:rsidP="008433EF">
      <w:r w:rsidRPr="008433EF">
        <w:t>HMIS</w:t>
      </w:r>
    </w:p>
    <w:p w14:paraId="732F5CE2" w14:textId="77777777" w:rsidR="008433EF" w:rsidRPr="008433EF" w:rsidRDefault="008433EF" w:rsidP="008433EF">
      <w:r w:rsidRPr="008433EF">
        <w:t>Project Administration</w:t>
      </w:r>
    </w:p>
    <w:p w14:paraId="7B0B3313" w14:textId="77777777" w:rsidR="008433EF" w:rsidRPr="008433EF" w:rsidRDefault="008433EF" w:rsidP="008433EF"/>
    <w:p w14:paraId="77B34C2C" w14:textId="77777777" w:rsidR="008433EF" w:rsidRPr="008433EF" w:rsidRDefault="008433EF" w:rsidP="008433EF">
      <w:r w:rsidRPr="008433EF">
        <w:t>Eligible supportive services are:</w:t>
      </w:r>
    </w:p>
    <w:p w14:paraId="347E1FF5" w14:textId="77777777" w:rsidR="008433EF" w:rsidRPr="008433EF" w:rsidRDefault="008433EF" w:rsidP="008433EF">
      <w:pPr>
        <w:numPr>
          <w:ilvl w:val="0"/>
          <w:numId w:val="21"/>
        </w:numPr>
      </w:pPr>
      <w:r w:rsidRPr="008433EF">
        <w:t>Annual Assessment of Services (</w:t>
      </w:r>
      <w:hyperlink r:id="rId16" w:tgtFrame="_blank" w:history="1">
        <w:r w:rsidRPr="008433EF">
          <w:rPr>
            <w:rStyle w:val="Hyperlink"/>
            <w:b/>
            <w:bCs/>
          </w:rPr>
          <w:t>§ 578.53(e)(1)</w:t>
        </w:r>
      </w:hyperlink>
      <w:r w:rsidRPr="008433EF">
        <w:t>)</w:t>
      </w:r>
    </w:p>
    <w:p w14:paraId="659CCA1A" w14:textId="77777777" w:rsidR="008433EF" w:rsidRPr="008433EF" w:rsidRDefault="008433EF" w:rsidP="008433EF">
      <w:pPr>
        <w:numPr>
          <w:ilvl w:val="0"/>
          <w:numId w:val="21"/>
        </w:numPr>
      </w:pPr>
      <w:r w:rsidRPr="008433EF">
        <w:t>Moving costs (</w:t>
      </w:r>
      <w:hyperlink r:id="rId17" w:tgtFrame="_blank" w:history="1">
        <w:r w:rsidRPr="008433EF">
          <w:rPr>
            <w:rStyle w:val="Hyperlink"/>
            <w:b/>
            <w:bCs/>
          </w:rPr>
          <w:t>§ 578.53(e)(2)</w:t>
        </w:r>
      </w:hyperlink>
      <w:r w:rsidRPr="008433EF">
        <w:t>)</w:t>
      </w:r>
    </w:p>
    <w:p w14:paraId="4B0227F4" w14:textId="77777777" w:rsidR="008433EF" w:rsidRPr="008433EF" w:rsidRDefault="008433EF" w:rsidP="008433EF">
      <w:pPr>
        <w:numPr>
          <w:ilvl w:val="0"/>
          <w:numId w:val="21"/>
        </w:numPr>
      </w:pPr>
      <w:r w:rsidRPr="008433EF">
        <w:t>Case management (</w:t>
      </w:r>
      <w:hyperlink r:id="rId18" w:tgtFrame="_blank" w:history="1">
        <w:r w:rsidRPr="008433EF">
          <w:rPr>
            <w:rStyle w:val="Hyperlink"/>
            <w:b/>
            <w:bCs/>
          </w:rPr>
          <w:t>§ 578.53(e)(3))</w:t>
        </w:r>
      </w:hyperlink>
    </w:p>
    <w:p w14:paraId="2CC393AF" w14:textId="77777777" w:rsidR="008433EF" w:rsidRPr="008433EF" w:rsidRDefault="008433EF" w:rsidP="008433EF">
      <w:pPr>
        <w:numPr>
          <w:ilvl w:val="0"/>
          <w:numId w:val="21"/>
        </w:numPr>
      </w:pPr>
      <w:r w:rsidRPr="008433EF">
        <w:t>Childcare (</w:t>
      </w:r>
      <w:hyperlink r:id="rId19" w:tgtFrame="_blank" w:history="1">
        <w:r w:rsidRPr="008433EF">
          <w:rPr>
            <w:rStyle w:val="Hyperlink"/>
            <w:b/>
            <w:bCs/>
          </w:rPr>
          <w:t>§ 578.53(e)(4)</w:t>
        </w:r>
      </w:hyperlink>
      <w:r w:rsidRPr="008433EF">
        <w:t>)</w:t>
      </w:r>
    </w:p>
    <w:p w14:paraId="66056475" w14:textId="77777777" w:rsidR="008433EF" w:rsidRPr="008433EF" w:rsidRDefault="008433EF" w:rsidP="008433EF">
      <w:pPr>
        <w:numPr>
          <w:ilvl w:val="0"/>
          <w:numId w:val="21"/>
        </w:numPr>
      </w:pPr>
      <w:r w:rsidRPr="008433EF">
        <w:t>Education services (</w:t>
      </w:r>
      <w:hyperlink r:id="rId20" w:tgtFrame="_blank" w:history="1">
        <w:r w:rsidRPr="008433EF">
          <w:rPr>
            <w:rStyle w:val="Hyperlink"/>
            <w:b/>
            <w:bCs/>
          </w:rPr>
          <w:t>§ 578.53(e)(5)</w:t>
        </w:r>
      </w:hyperlink>
      <w:r w:rsidRPr="008433EF">
        <w:t>)</w:t>
      </w:r>
    </w:p>
    <w:p w14:paraId="77EBCC12" w14:textId="77777777" w:rsidR="008433EF" w:rsidRPr="008433EF" w:rsidRDefault="008433EF" w:rsidP="008433EF">
      <w:pPr>
        <w:numPr>
          <w:ilvl w:val="0"/>
          <w:numId w:val="21"/>
        </w:numPr>
      </w:pPr>
      <w:r w:rsidRPr="008433EF">
        <w:t>Employment assistance and job training (</w:t>
      </w:r>
      <w:hyperlink r:id="rId21" w:tgtFrame="_blank" w:history="1">
        <w:r w:rsidRPr="008433EF">
          <w:rPr>
            <w:rStyle w:val="Hyperlink"/>
            <w:b/>
            <w:bCs/>
          </w:rPr>
          <w:t>§ 578.53(e)(6)</w:t>
        </w:r>
      </w:hyperlink>
      <w:r w:rsidRPr="008433EF">
        <w:t>)</w:t>
      </w:r>
    </w:p>
    <w:p w14:paraId="2C00BA23" w14:textId="77777777" w:rsidR="008433EF" w:rsidRPr="008433EF" w:rsidRDefault="008433EF" w:rsidP="008433EF">
      <w:pPr>
        <w:numPr>
          <w:ilvl w:val="0"/>
          <w:numId w:val="21"/>
        </w:numPr>
      </w:pPr>
      <w:r w:rsidRPr="008433EF">
        <w:rPr>
          <w:b/>
          <w:bCs/>
          <w:u w:val="single"/>
        </w:rPr>
        <w:t xml:space="preserve">Food </w:t>
      </w:r>
      <w:r w:rsidRPr="008433EF">
        <w:t>(</w:t>
      </w:r>
      <w:hyperlink r:id="rId22" w:tgtFrame="_blank" w:history="1">
        <w:r w:rsidRPr="008433EF">
          <w:rPr>
            <w:rStyle w:val="Hyperlink"/>
            <w:b/>
            <w:bCs/>
          </w:rPr>
          <w:t>§ 578.53(e)(7)</w:t>
        </w:r>
      </w:hyperlink>
      <w:r w:rsidRPr="008433EF">
        <w:t>)</w:t>
      </w:r>
    </w:p>
    <w:p w14:paraId="32F1A443" w14:textId="77777777" w:rsidR="008433EF" w:rsidRPr="008433EF" w:rsidRDefault="008433EF" w:rsidP="008433EF">
      <w:pPr>
        <w:numPr>
          <w:ilvl w:val="0"/>
          <w:numId w:val="21"/>
        </w:numPr>
      </w:pPr>
      <w:r w:rsidRPr="008433EF">
        <w:t>Housing search and counseling services (</w:t>
      </w:r>
      <w:hyperlink r:id="rId23" w:tgtFrame="_blank" w:history="1">
        <w:r w:rsidRPr="008433EF">
          <w:rPr>
            <w:rStyle w:val="Hyperlink"/>
            <w:b/>
            <w:bCs/>
          </w:rPr>
          <w:t>§ 578.53(e)(8)</w:t>
        </w:r>
      </w:hyperlink>
      <w:r w:rsidRPr="008433EF">
        <w:t>)</w:t>
      </w:r>
    </w:p>
    <w:p w14:paraId="7B37661E" w14:textId="77777777" w:rsidR="008433EF" w:rsidRPr="008433EF" w:rsidRDefault="008433EF" w:rsidP="008433EF">
      <w:pPr>
        <w:numPr>
          <w:ilvl w:val="0"/>
          <w:numId w:val="21"/>
        </w:numPr>
      </w:pPr>
      <w:r w:rsidRPr="008433EF">
        <w:t>Legal services (</w:t>
      </w:r>
      <w:hyperlink r:id="rId24" w:tgtFrame="_blank" w:history="1">
        <w:r w:rsidRPr="008433EF">
          <w:rPr>
            <w:rStyle w:val="Hyperlink"/>
            <w:b/>
            <w:bCs/>
          </w:rPr>
          <w:t>§ 578.53(e)(9)</w:t>
        </w:r>
      </w:hyperlink>
      <w:r w:rsidRPr="008433EF">
        <w:t>)</w:t>
      </w:r>
    </w:p>
    <w:p w14:paraId="17558D8E" w14:textId="77777777" w:rsidR="008433EF" w:rsidRPr="008433EF" w:rsidRDefault="008433EF" w:rsidP="008433EF">
      <w:pPr>
        <w:numPr>
          <w:ilvl w:val="0"/>
          <w:numId w:val="21"/>
        </w:numPr>
      </w:pPr>
      <w:r w:rsidRPr="008433EF">
        <w:t>Life skills training (</w:t>
      </w:r>
      <w:hyperlink r:id="rId25" w:tgtFrame="_blank" w:history="1">
        <w:r w:rsidRPr="008433EF">
          <w:rPr>
            <w:rStyle w:val="Hyperlink"/>
            <w:b/>
            <w:bCs/>
          </w:rPr>
          <w:t>§ 578.53(e)(10)</w:t>
        </w:r>
      </w:hyperlink>
      <w:r w:rsidRPr="008433EF">
        <w:t>)</w:t>
      </w:r>
    </w:p>
    <w:p w14:paraId="48242F6A" w14:textId="77777777" w:rsidR="008433EF" w:rsidRPr="008433EF" w:rsidRDefault="008433EF" w:rsidP="008433EF">
      <w:pPr>
        <w:numPr>
          <w:ilvl w:val="0"/>
          <w:numId w:val="21"/>
        </w:numPr>
      </w:pPr>
      <w:r w:rsidRPr="008433EF">
        <w:t>Mental health services (</w:t>
      </w:r>
      <w:hyperlink r:id="rId26" w:tgtFrame="_blank" w:history="1">
        <w:r w:rsidRPr="008433EF">
          <w:rPr>
            <w:rStyle w:val="Hyperlink"/>
            <w:b/>
            <w:bCs/>
          </w:rPr>
          <w:t>§ 578.53(e)(11)</w:t>
        </w:r>
      </w:hyperlink>
      <w:r w:rsidRPr="008433EF">
        <w:t>)</w:t>
      </w:r>
    </w:p>
    <w:p w14:paraId="2F3BE381" w14:textId="77777777" w:rsidR="008433EF" w:rsidRPr="008433EF" w:rsidRDefault="008433EF" w:rsidP="008433EF">
      <w:pPr>
        <w:numPr>
          <w:ilvl w:val="0"/>
          <w:numId w:val="21"/>
        </w:numPr>
      </w:pPr>
      <w:r w:rsidRPr="008433EF">
        <w:t>Outpatient health services (</w:t>
      </w:r>
      <w:hyperlink r:id="rId27" w:tgtFrame="_blank" w:history="1">
        <w:r w:rsidRPr="008433EF">
          <w:rPr>
            <w:rStyle w:val="Hyperlink"/>
            <w:b/>
            <w:bCs/>
          </w:rPr>
          <w:t>§ 578.53(e)(12)</w:t>
        </w:r>
      </w:hyperlink>
      <w:r w:rsidRPr="008433EF">
        <w:t>)</w:t>
      </w:r>
    </w:p>
    <w:p w14:paraId="27939838" w14:textId="77777777" w:rsidR="008433EF" w:rsidRPr="008433EF" w:rsidRDefault="008433EF" w:rsidP="008433EF">
      <w:pPr>
        <w:numPr>
          <w:ilvl w:val="0"/>
          <w:numId w:val="21"/>
        </w:numPr>
      </w:pPr>
      <w:r w:rsidRPr="008433EF">
        <w:t>Outreach services (</w:t>
      </w:r>
      <w:hyperlink r:id="rId28" w:tgtFrame="_blank" w:history="1">
        <w:r w:rsidRPr="008433EF">
          <w:rPr>
            <w:rStyle w:val="Hyperlink"/>
            <w:b/>
            <w:bCs/>
          </w:rPr>
          <w:t>§ 578.53(e)(13)</w:t>
        </w:r>
      </w:hyperlink>
      <w:r w:rsidRPr="008433EF">
        <w:t>)</w:t>
      </w:r>
    </w:p>
    <w:p w14:paraId="64435357" w14:textId="77777777" w:rsidR="008433EF" w:rsidRPr="008433EF" w:rsidRDefault="008433EF" w:rsidP="008433EF">
      <w:pPr>
        <w:numPr>
          <w:ilvl w:val="0"/>
          <w:numId w:val="21"/>
        </w:numPr>
      </w:pPr>
      <w:r w:rsidRPr="008433EF">
        <w:t>Substance abuse treatment services (</w:t>
      </w:r>
      <w:hyperlink r:id="rId29" w:tgtFrame="_blank" w:history="1">
        <w:r w:rsidRPr="008433EF">
          <w:rPr>
            <w:rStyle w:val="Hyperlink"/>
            <w:b/>
            <w:bCs/>
          </w:rPr>
          <w:t>§ 578.53(e)(14)</w:t>
        </w:r>
      </w:hyperlink>
      <w:r w:rsidRPr="008433EF">
        <w:t>)</w:t>
      </w:r>
    </w:p>
    <w:p w14:paraId="05E116E3" w14:textId="77777777" w:rsidR="008433EF" w:rsidRPr="008433EF" w:rsidRDefault="008433EF" w:rsidP="008433EF">
      <w:pPr>
        <w:numPr>
          <w:ilvl w:val="0"/>
          <w:numId w:val="21"/>
        </w:numPr>
      </w:pPr>
      <w:r w:rsidRPr="008433EF">
        <w:t>Transportation (</w:t>
      </w:r>
      <w:hyperlink r:id="rId30" w:tgtFrame="_blank" w:history="1">
        <w:r w:rsidRPr="008433EF">
          <w:rPr>
            <w:rStyle w:val="Hyperlink"/>
            <w:b/>
            <w:bCs/>
          </w:rPr>
          <w:t>§ 578.53(e)(15)</w:t>
        </w:r>
      </w:hyperlink>
      <w:r w:rsidRPr="008433EF">
        <w:t>)</w:t>
      </w:r>
    </w:p>
    <w:p w14:paraId="2737B39F" w14:textId="77777777" w:rsidR="008433EF" w:rsidRPr="008433EF" w:rsidRDefault="008433EF" w:rsidP="008433EF">
      <w:pPr>
        <w:numPr>
          <w:ilvl w:val="0"/>
          <w:numId w:val="21"/>
        </w:numPr>
      </w:pPr>
      <w:r w:rsidRPr="008433EF">
        <w:t>Utility deposits (</w:t>
      </w:r>
      <w:hyperlink r:id="rId31" w:tgtFrame="_blank" w:history="1">
        <w:r w:rsidRPr="008433EF">
          <w:rPr>
            <w:rStyle w:val="Hyperlink"/>
            <w:b/>
            <w:bCs/>
          </w:rPr>
          <w:t>§ 578.53(e)(16)</w:t>
        </w:r>
      </w:hyperlink>
      <w:r w:rsidRPr="008433EF">
        <w:t>)</w:t>
      </w:r>
    </w:p>
    <w:p w14:paraId="1EF2943C" w14:textId="77777777" w:rsidR="008433EF" w:rsidRPr="008433EF" w:rsidRDefault="008433EF" w:rsidP="008433EF"/>
    <w:p w14:paraId="5B2D817C" w14:textId="77777777" w:rsidR="008433EF" w:rsidRPr="008433EF" w:rsidRDefault="008433EF" w:rsidP="008433EF">
      <w:r w:rsidRPr="008433EF">
        <w:t xml:space="preserve">For more information on each category visit: </w:t>
      </w:r>
      <w:hyperlink r:id="rId32" w:anchor=":~:text=CoC%20eligible%20costs%2Factivities%20are%3A%201%20Acquisition%202%20Rehabilitation,Services%207%20Operating%20Costs%208%20HMIS%20More%20items" w:history="1">
        <w:r w:rsidRPr="008433EF">
          <w:rPr>
            <w:rStyle w:val="Hyperlink"/>
          </w:rPr>
          <w:t>CoC Eligible Activities - List of CoC Eligible Activities - HUD Exchange</w:t>
        </w:r>
      </w:hyperlink>
    </w:p>
    <w:p w14:paraId="1DB3A9A1" w14:textId="77777777" w:rsidR="008433EF" w:rsidRPr="008433EF" w:rsidRDefault="008433EF" w:rsidP="008433EF"/>
    <w:p w14:paraId="6A6FBFE3" w14:textId="77777777" w:rsidR="0078164B" w:rsidRPr="00337D17" w:rsidRDefault="008433EF" w:rsidP="008433EF">
      <w:pPr>
        <w:rPr>
          <w:color w:val="FF0000"/>
        </w:rPr>
      </w:pPr>
      <w:r w:rsidRPr="008433EF">
        <w:rPr>
          <w:color w:val="FF0000"/>
        </w:rPr>
        <w:t xml:space="preserve">Will points be lost if our TH:RRH proposal is not serving 'unsheltered' homeless individuals? </w:t>
      </w:r>
    </w:p>
    <w:p w14:paraId="04FB062E" w14:textId="77777777" w:rsidR="0078164B" w:rsidRDefault="0078164B" w:rsidP="008433EF"/>
    <w:p w14:paraId="107F39CB" w14:textId="7F1A4E15" w:rsidR="008433EF" w:rsidRPr="008433EF" w:rsidRDefault="00337D17" w:rsidP="008433EF">
      <w:r>
        <w:t>Yes, r</w:t>
      </w:r>
      <w:r w:rsidR="008433EF" w:rsidRPr="008433EF">
        <w:t xml:space="preserve">ating factor B.4. on the rating sheet: </w:t>
      </w:r>
      <w:hyperlink r:id="rId33" w:history="1">
        <w:r w:rsidR="008433EF" w:rsidRPr="008433EF">
          <w:rPr>
            <w:rStyle w:val="Hyperlink"/>
          </w:rPr>
          <w:t>https://www.miamidade.gov/resources-homeless/library/nofa-2023/attachment-20-new-hud-project-scoring-criteria.doc</w:t>
        </w:r>
      </w:hyperlink>
      <w:r w:rsidR="008433EF" w:rsidRPr="008433EF">
        <w:t xml:space="preserve"> provides 10 points to proposal that describe how healthcare and housing resources are being coordinated and leveraged, </w:t>
      </w:r>
      <w:r w:rsidR="008433EF" w:rsidRPr="008433EF">
        <w:rPr>
          <w:b/>
          <w:bCs/>
          <w:u w:val="single"/>
        </w:rPr>
        <w:t>and ideally suited to reduce unsheltered homelessness</w:t>
      </w:r>
      <w:r w:rsidR="008433EF" w:rsidRPr="008433EF">
        <w:t>.</w:t>
      </w:r>
    </w:p>
    <w:p w14:paraId="3F7E0A98" w14:textId="77777777" w:rsidR="008433EF" w:rsidRDefault="008433EF" w:rsidP="008433EF"/>
    <w:p w14:paraId="52228839" w14:textId="0E4DAF8A" w:rsidR="0078164B" w:rsidRPr="00337D17" w:rsidRDefault="0078164B" w:rsidP="008433EF">
      <w:pPr>
        <w:rPr>
          <w:color w:val="FF0000"/>
        </w:rPr>
      </w:pPr>
      <w:r w:rsidRPr="00337D17">
        <w:rPr>
          <w:color w:val="FF0000"/>
        </w:rPr>
        <w:t>If your presently operating a project and is receiving NOFA funding, do we need a New or Renewal application?  </w:t>
      </w:r>
    </w:p>
    <w:p w14:paraId="74DF4D18" w14:textId="77777777" w:rsidR="0078164B" w:rsidRDefault="0078164B" w:rsidP="008433EF"/>
    <w:p w14:paraId="78C5DE8C" w14:textId="390433D4" w:rsidR="0078164B" w:rsidRDefault="0078164B" w:rsidP="008433EF">
      <w:r>
        <w:t xml:space="preserve">Projects listed in the Grant Inventory Worksheet that are renewing their interest to continue receiving CoC funds must submit a response to this solicitation. Please refer to attachment 2 to ensure you are submitting all the required </w:t>
      </w:r>
      <w:r w:rsidR="00337D17">
        <w:t xml:space="preserve">Renewal Application </w:t>
      </w:r>
      <w:r>
        <w:t>forms along with your response.</w:t>
      </w:r>
    </w:p>
    <w:p w14:paraId="79BE53B0" w14:textId="77777777" w:rsidR="0078164B" w:rsidRDefault="0078164B" w:rsidP="008433EF"/>
    <w:p w14:paraId="0CCBBF45" w14:textId="77777777" w:rsidR="0078164B" w:rsidRPr="00337D17" w:rsidRDefault="0078164B" w:rsidP="0078164B">
      <w:pPr>
        <w:rPr>
          <w:rFonts w:eastAsia="Times New Roman"/>
          <w:color w:val="FF0000"/>
        </w:rPr>
      </w:pPr>
      <w:r w:rsidRPr="00337D17">
        <w:rPr>
          <w:rFonts w:eastAsia="Times New Roman"/>
          <w:color w:val="FF0000"/>
        </w:rPr>
        <w:t>Can we place 2 adults in the same room? I want to say HUD guidance says yes and even allows two people to stay in the living room under certain conditions, but I want to provide an official response quoting the HUD rules.</w:t>
      </w:r>
    </w:p>
    <w:p w14:paraId="7570E2BE" w14:textId="77777777" w:rsidR="0078164B" w:rsidRDefault="0078164B" w:rsidP="0078164B">
      <w:pPr>
        <w:rPr>
          <w:rFonts w:eastAsia="Times New Roman"/>
        </w:rPr>
      </w:pPr>
    </w:p>
    <w:p w14:paraId="77D4B01C" w14:textId="77777777" w:rsidR="0078164B" w:rsidRDefault="0078164B" w:rsidP="0078164B">
      <w:r>
        <w:t xml:space="preserve">HUD has general guidelines with respect to occupancy limits in housing. Generally speaking, HUD’s preference is for two persons to share each sleeping room. Unrelated persons of different genders are not expected to share a sleeping room and adolescent children are not expected to share a sleeping room with siblings of the opposite sex. HUD requires that PHAs set reasonable occupancy limits and encourages CoCs to follow the practices set by the local PHA. In HUD’s public housing occupancy handbook, it states that ‘HUD does not specify the number of persons who may live in public housing units of various sizes.’  It, however, does go on to state: “In assigning families to public housing, </w:t>
      </w:r>
      <w:r>
        <w:rPr>
          <w:b/>
          <w:bCs/>
        </w:rPr>
        <w:t>a PHA may allow families to occupy units of sufficient size so that persons of opposite sex (other than spouses), persons of different generations, and unrelated adults may have separate bedrooms</w:t>
      </w:r>
      <w:r>
        <w:t>.” [https://www.hud.gov/sites/documents/74651C5PIHH.PDF]</w:t>
      </w:r>
    </w:p>
    <w:p w14:paraId="35751843" w14:textId="77777777" w:rsidR="0078164B" w:rsidRDefault="0078164B" w:rsidP="0078164B"/>
    <w:p w14:paraId="68308001" w14:textId="77777777" w:rsidR="0078164B" w:rsidRDefault="0078164B" w:rsidP="0078164B">
      <w:r>
        <w:t xml:space="preserve">HUD would allow two, unrelated adults to share a room but it would also allow them to have separate sleeping rooms. For permanent housing, I’m not certain you’d want to have unrelated adults sharing a sleeping room. It can be done. But people generally want more privacy than that and, as adults, might occasionally want to spend the night with a person of their choice. There are great potential benefits from shared housing but roommate conflict is a limiting factor and a shared bedroom is likely to escalate that conflict. </w:t>
      </w:r>
    </w:p>
    <w:p w14:paraId="27AB9303" w14:textId="77777777" w:rsidR="0078164B" w:rsidRDefault="0078164B" w:rsidP="0078164B"/>
    <w:p w14:paraId="7F755F4E" w14:textId="06B77928" w:rsidR="0078164B" w:rsidRPr="00337D17" w:rsidRDefault="0078164B" w:rsidP="0078164B">
      <w:pPr>
        <w:rPr>
          <w:rFonts w:eastAsia="Times New Roman"/>
          <w:color w:val="FF0000"/>
        </w:rPr>
      </w:pPr>
      <w:r w:rsidRPr="00337D17">
        <w:rPr>
          <w:rFonts w:eastAsia="Times New Roman"/>
          <w:color w:val="FF0000"/>
        </w:rPr>
        <w:t>Is there any scenario where someone doing leasing in shared housing, can charge tenants less than 30% of their income?</w:t>
      </w:r>
    </w:p>
    <w:p w14:paraId="359B1EDA" w14:textId="77777777" w:rsidR="0078164B" w:rsidRPr="00337D17" w:rsidRDefault="0078164B" w:rsidP="0078164B">
      <w:pPr>
        <w:rPr>
          <w:rFonts w:eastAsia="Times New Roman"/>
          <w:color w:val="FF0000"/>
        </w:rPr>
      </w:pPr>
    </w:p>
    <w:p w14:paraId="6DA65C9C" w14:textId="77777777" w:rsidR="0078164B" w:rsidRDefault="0078164B" w:rsidP="0078164B">
      <w:r>
        <w:t xml:space="preserve">24 CFR 578.77 Calculating Occupancy Charges and Rent: “(b) Calculation of occupancy charges. Recipients and subrecipients are not required to impose occupancy charges on program participants as a condition of residing in the housing. However, if occupancy charges are imposed, they may not exceed the highest of:” the regulation then goes on to 30% of adjusted income, 10% of gross, etc. </w:t>
      </w:r>
    </w:p>
    <w:p w14:paraId="223BCF59" w14:textId="77777777" w:rsidR="0078164B" w:rsidRDefault="0078164B" w:rsidP="0078164B"/>
    <w:p w14:paraId="3618BA0D" w14:textId="77777777" w:rsidR="0078164B" w:rsidRDefault="0078164B" w:rsidP="0078164B">
      <w:pPr>
        <w:rPr>
          <w:rFonts w:eastAsia="Times New Roman"/>
        </w:rPr>
      </w:pPr>
    </w:p>
    <w:p w14:paraId="3639E555" w14:textId="77777777" w:rsidR="0078164B" w:rsidRPr="0078164B" w:rsidRDefault="0078164B" w:rsidP="0078164B">
      <w:pPr>
        <w:rPr>
          <w:rFonts w:eastAsia="Times New Roman"/>
        </w:rPr>
      </w:pPr>
    </w:p>
    <w:p w14:paraId="56704C2B" w14:textId="77777777" w:rsidR="0078164B" w:rsidRDefault="0078164B" w:rsidP="008433EF"/>
    <w:p w14:paraId="1537E685" w14:textId="77777777" w:rsidR="0078164B" w:rsidRDefault="0078164B" w:rsidP="008433EF"/>
    <w:p w14:paraId="7BC6ECAA" w14:textId="77777777" w:rsidR="008433EF" w:rsidRDefault="008433EF" w:rsidP="008433EF">
      <w:pPr>
        <w:rPr>
          <w:rFonts w:asciiTheme="minorHAnsi" w:hAnsiTheme="minorHAnsi" w:cstheme="minorHAnsi"/>
          <w:sz w:val="24"/>
          <w:szCs w:val="24"/>
        </w:rPr>
      </w:pPr>
    </w:p>
    <w:sectPr w:rsidR="00843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83F"/>
    <w:multiLevelType w:val="hybridMultilevel"/>
    <w:tmpl w:val="1F8E0E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035C2"/>
    <w:multiLevelType w:val="hybridMultilevel"/>
    <w:tmpl w:val="DF6A702E"/>
    <w:lvl w:ilvl="0" w:tplc="1CF422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B93"/>
    <w:multiLevelType w:val="hybridMultilevel"/>
    <w:tmpl w:val="0046D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DC4D91"/>
    <w:multiLevelType w:val="multilevel"/>
    <w:tmpl w:val="11FAF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63FB6"/>
    <w:multiLevelType w:val="hybridMultilevel"/>
    <w:tmpl w:val="1B84088C"/>
    <w:lvl w:ilvl="0" w:tplc="9A96D8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E21817"/>
    <w:multiLevelType w:val="hybridMultilevel"/>
    <w:tmpl w:val="64241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AF7C61"/>
    <w:multiLevelType w:val="hybridMultilevel"/>
    <w:tmpl w:val="F09C492C"/>
    <w:lvl w:ilvl="0" w:tplc="048AA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616B75"/>
    <w:multiLevelType w:val="hybridMultilevel"/>
    <w:tmpl w:val="3034B568"/>
    <w:lvl w:ilvl="0" w:tplc="C3ECD66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5B336B"/>
    <w:multiLevelType w:val="multilevel"/>
    <w:tmpl w:val="A4862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D2673"/>
    <w:multiLevelType w:val="multilevel"/>
    <w:tmpl w:val="9274E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173BC3"/>
    <w:multiLevelType w:val="hybridMultilevel"/>
    <w:tmpl w:val="E354BEC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3C414FDD"/>
    <w:multiLevelType w:val="hybridMultilevel"/>
    <w:tmpl w:val="1AEC208C"/>
    <w:lvl w:ilvl="0" w:tplc="FD287E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B25783"/>
    <w:multiLevelType w:val="hybridMultilevel"/>
    <w:tmpl w:val="D0747E60"/>
    <w:lvl w:ilvl="0" w:tplc="27D0A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8450C8"/>
    <w:multiLevelType w:val="multilevel"/>
    <w:tmpl w:val="8D7EA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875F2"/>
    <w:multiLevelType w:val="hybridMultilevel"/>
    <w:tmpl w:val="3034B568"/>
    <w:lvl w:ilvl="0" w:tplc="C3ECD66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F07135"/>
    <w:multiLevelType w:val="hybridMultilevel"/>
    <w:tmpl w:val="B4EC3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0A5529"/>
    <w:multiLevelType w:val="hybridMultilevel"/>
    <w:tmpl w:val="5A00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2340A"/>
    <w:multiLevelType w:val="hybridMultilevel"/>
    <w:tmpl w:val="50F08F28"/>
    <w:lvl w:ilvl="0" w:tplc="BFB29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42C6E"/>
    <w:multiLevelType w:val="hybridMultilevel"/>
    <w:tmpl w:val="C0027D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C913E7B"/>
    <w:multiLevelType w:val="hybridMultilevel"/>
    <w:tmpl w:val="6B22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C4CB7"/>
    <w:multiLevelType w:val="hybridMultilevel"/>
    <w:tmpl w:val="6CFC8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7158232">
    <w:abstractNumId w:val="19"/>
  </w:num>
  <w:num w:numId="2" w16cid:durableId="312875086">
    <w:abstractNumId w:val="6"/>
  </w:num>
  <w:num w:numId="3" w16cid:durableId="647369644">
    <w:abstractNumId w:val="16"/>
  </w:num>
  <w:num w:numId="4" w16cid:durableId="986859989">
    <w:abstractNumId w:val="13"/>
  </w:num>
  <w:num w:numId="5" w16cid:durableId="725877833">
    <w:abstractNumId w:val="10"/>
  </w:num>
  <w:num w:numId="6" w16cid:durableId="1008019902">
    <w:abstractNumId w:val="1"/>
  </w:num>
  <w:num w:numId="7" w16cid:durableId="549613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217153">
    <w:abstractNumId w:val="12"/>
  </w:num>
  <w:num w:numId="9" w16cid:durableId="1385761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928352">
    <w:abstractNumId w:val="7"/>
  </w:num>
  <w:num w:numId="11" w16cid:durableId="559752018">
    <w:abstractNumId w:val="14"/>
  </w:num>
  <w:num w:numId="12" w16cid:durableId="1120799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5820">
    <w:abstractNumId w:val="18"/>
  </w:num>
  <w:num w:numId="14" w16cid:durableId="1196042206">
    <w:abstractNumId w:val="20"/>
  </w:num>
  <w:num w:numId="15" w16cid:durableId="202329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7494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485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1358892">
    <w:abstractNumId w:val="3"/>
  </w:num>
  <w:num w:numId="19" w16cid:durableId="1953314881">
    <w:abstractNumId w:val="17"/>
  </w:num>
  <w:num w:numId="20" w16cid:durableId="1919945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9997989">
    <w:abstractNumId w:val="8"/>
    <w:lvlOverride w:ilvl="0"/>
    <w:lvlOverride w:ilvl="1"/>
    <w:lvlOverride w:ilvl="2"/>
    <w:lvlOverride w:ilvl="3"/>
    <w:lvlOverride w:ilvl="4"/>
    <w:lvlOverride w:ilvl="5"/>
    <w:lvlOverride w:ilvl="6"/>
    <w:lvlOverride w:ilvl="7"/>
    <w:lvlOverride w:ilvl="8"/>
  </w:num>
  <w:num w:numId="22" w16cid:durableId="3412053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BB"/>
    <w:rsid w:val="00035D55"/>
    <w:rsid w:val="00037889"/>
    <w:rsid w:val="00094369"/>
    <w:rsid w:val="000B2B72"/>
    <w:rsid w:val="000E54A2"/>
    <w:rsid w:val="00100796"/>
    <w:rsid w:val="001059B1"/>
    <w:rsid w:val="00191CC6"/>
    <w:rsid w:val="001A4ED0"/>
    <w:rsid w:val="001C6818"/>
    <w:rsid w:val="002114B7"/>
    <w:rsid w:val="00254FDD"/>
    <w:rsid w:val="002A0D8B"/>
    <w:rsid w:val="002A4847"/>
    <w:rsid w:val="002F0BBB"/>
    <w:rsid w:val="002F60EC"/>
    <w:rsid w:val="0033293A"/>
    <w:rsid w:val="00337D17"/>
    <w:rsid w:val="003509DF"/>
    <w:rsid w:val="00366B5D"/>
    <w:rsid w:val="00377493"/>
    <w:rsid w:val="00385429"/>
    <w:rsid w:val="003B0820"/>
    <w:rsid w:val="003B0A3F"/>
    <w:rsid w:val="00402C08"/>
    <w:rsid w:val="0040357D"/>
    <w:rsid w:val="00426F0E"/>
    <w:rsid w:val="004633B9"/>
    <w:rsid w:val="004D7DD4"/>
    <w:rsid w:val="004E1ABB"/>
    <w:rsid w:val="004E2828"/>
    <w:rsid w:val="004F2231"/>
    <w:rsid w:val="00502301"/>
    <w:rsid w:val="005172EA"/>
    <w:rsid w:val="00531EC7"/>
    <w:rsid w:val="0056186F"/>
    <w:rsid w:val="00573E07"/>
    <w:rsid w:val="00585980"/>
    <w:rsid w:val="0059105F"/>
    <w:rsid w:val="00593E71"/>
    <w:rsid w:val="006171D2"/>
    <w:rsid w:val="00626D3D"/>
    <w:rsid w:val="00675ACD"/>
    <w:rsid w:val="00697ED1"/>
    <w:rsid w:val="006B239A"/>
    <w:rsid w:val="00725678"/>
    <w:rsid w:val="00742881"/>
    <w:rsid w:val="00756EE6"/>
    <w:rsid w:val="00762E02"/>
    <w:rsid w:val="00764217"/>
    <w:rsid w:val="0077281F"/>
    <w:rsid w:val="0078164B"/>
    <w:rsid w:val="007B4ED3"/>
    <w:rsid w:val="007D6680"/>
    <w:rsid w:val="007F0E0B"/>
    <w:rsid w:val="007F2F4D"/>
    <w:rsid w:val="00814A0C"/>
    <w:rsid w:val="0082606D"/>
    <w:rsid w:val="008433EF"/>
    <w:rsid w:val="00854794"/>
    <w:rsid w:val="008643A1"/>
    <w:rsid w:val="00875F1C"/>
    <w:rsid w:val="00892365"/>
    <w:rsid w:val="00894130"/>
    <w:rsid w:val="008A14A1"/>
    <w:rsid w:val="008A49C3"/>
    <w:rsid w:val="008A6F30"/>
    <w:rsid w:val="008B0C4E"/>
    <w:rsid w:val="008C2268"/>
    <w:rsid w:val="008C79F8"/>
    <w:rsid w:val="008F5EB7"/>
    <w:rsid w:val="00940504"/>
    <w:rsid w:val="0096115F"/>
    <w:rsid w:val="009837BB"/>
    <w:rsid w:val="0098722B"/>
    <w:rsid w:val="0099391B"/>
    <w:rsid w:val="009B3238"/>
    <w:rsid w:val="009D00E1"/>
    <w:rsid w:val="009D1085"/>
    <w:rsid w:val="009E01E4"/>
    <w:rsid w:val="00A429FA"/>
    <w:rsid w:val="00A6275B"/>
    <w:rsid w:val="00A8130F"/>
    <w:rsid w:val="00A90D14"/>
    <w:rsid w:val="00A9254D"/>
    <w:rsid w:val="00AA5F7B"/>
    <w:rsid w:val="00AB0150"/>
    <w:rsid w:val="00AE4280"/>
    <w:rsid w:val="00AF4459"/>
    <w:rsid w:val="00AF7AF5"/>
    <w:rsid w:val="00B0577F"/>
    <w:rsid w:val="00B0781F"/>
    <w:rsid w:val="00B9428D"/>
    <w:rsid w:val="00BB1569"/>
    <w:rsid w:val="00BD62BB"/>
    <w:rsid w:val="00C060F6"/>
    <w:rsid w:val="00C343D0"/>
    <w:rsid w:val="00C50B5A"/>
    <w:rsid w:val="00CB2BE8"/>
    <w:rsid w:val="00CD0AC5"/>
    <w:rsid w:val="00CE0D9F"/>
    <w:rsid w:val="00D606AA"/>
    <w:rsid w:val="00D642E4"/>
    <w:rsid w:val="00D75E0C"/>
    <w:rsid w:val="00D7711A"/>
    <w:rsid w:val="00DB4EC1"/>
    <w:rsid w:val="00DC776D"/>
    <w:rsid w:val="00DD73C3"/>
    <w:rsid w:val="00DE2E82"/>
    <w:rsid w:val="00DE3416"/>
    <w:rsid w:val="00DF160D"/>
    <w:rsid w:val="00E14A5F"/>
    <w:rsid w:val="00E24ACF"/>
    <w:rsid w:val="00E43F7F"/>
    <w:rsid w:val="00EB3804"/>
    <w:rsid w:val="00EE2289"/>
    <w:rsid w:val="00EE32F5"/>
    <w:rsid w:val="00F44D0C"/>
    <w:rsid w:val="00F53348"/>
    <w:rsid w:val="00F7592E"/>
    <w:rsid w:val="00F76B9B"/>
    <w:rsid w:val="00F854A2"/>
    <w:rsid w:val="00F94E03"/>
    <w:rsid w:val="00FA70B0"/>
    <w:rsid w:val="00FB40A8"/>
    <w:rsid w:val="00FC310D"/>
    <w:rsid w:val="00FD1B02"/>
    <w:rsid w:val="00FD6143"/>
    <w:rsid w:val="00FE5516"/>
    <w:rsid w:val="00FF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F471"/>
  <w15:docId w15:val="{F41978D2-C0B1-4390-AD18-4840A986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3C3"/>
    <w:pPr>
      <w:spacing w:after="0" w:line="240" w:lineRule="auto"/>
    </w:pPr>
    <w:rPr>
      <w:rFonts w:ascii="Calibri" w:hAnsi="Calibri" w:cs="Calibri"/>
    </w:rPr>
  </w:style>
  <w:style w:type="paragraph" w:styleId="Heading1">
    <w:name w:val="heading 1"/>
    <w:basedOn w:val="Normal"/>
    <w:next w:val="Normal"/>
    <w:link w:val="Heading1Char"/>
    <w:qFormat/>
    <w:rsid w:val="006B239A"/>
    <w:pPr>
      <w:keepNext/>
      <w:outlineLvl w:val="0"/>
    </w:pPr>
    <w:rPr>
      <w:rFonts w:ascii="Times New Roman" w:eastAsia="Times New Roman" w:hAnsi="Times New Roman" w:cs="Times New Roman"/>
      <w:b/>
      <w:sz w:val="20"/>
      <w:szCs w:val="20"/>
    </w:rPr>
  </w:style>
  <w:style w:type="paragraph" w:styleId="Heading6">
    <w:name w:val="heading 6"/>
    <w:basedOn w:val="Normal"/>
    <w:next w:val="Normal"/>
    <w:link w:val="Heading6Char"/>
    <w:semiHidden/>
    <w:unhideWhenUsed/>
    <w:qFormat/>
    <w:rsid w:val="006B239A"/>
    <w:pPr>
      <w:keepNext/>
      <w:outlineLvl w:val="5"/>
    </w:pPr>
    <w:rPr>
      <w:rFonts w:ascii="Times New Roman" w:eastAsia="Times New Roman" w:hAnsi="Times New Roman" w:cs="Times New Roman"/>
      <w:b/>
      <w:bCs/>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il">
    <w:name w:val="gmail-il"/>
    <w:basedOn w:val="DefaultParagraphFont"/>
    <w:rsid w:val="00BD62BB"/>
  </w:style>
  <w:style w:type="paragraph" w:styleId="ListParagraph">
    <w:name w:val="List Paragraph"/>
    <w:basedOn w:val="Normal"/>
    <w:uiPriority w:val="34"/>
    <w:qFormat/>
    <w:rsid w:val="00BD62BB"/>
    <w:pPr>
      <w:ind w:left="720"/>
      <w:contextualSpacing/>
    </w:pPr>
  </w:style>
  <w:style w:type="character" w:styleId="Hyperlink">
    <w:name w:val="Hyperlink"/>
    <w:basedOn w:val="DefaultParagraphFont"/>
    <w:uiPriority w:val="99"/>
    <w:unhideWhenUsed/>
    <w:rsid w:val="00892365"/>
    <w:rPr>
      <w:color w:val="0000FF" w:themeColor="hyperlink"/>
      <w:u w:val="single"/>
    </w:rPr>
  </w:style>
  <w:style w:type="paragraph" w:customStyle="1" w:styleId="Default">
    <w:name w:val="Default"/>
    <w:basedOn w:val="Normal"/>
    <w:rsid w:val="00DC776D"/>
    <w:pPr>
      <w:autoSpaceDE w:val="0"/>
      <w:autoSpaceDN w:val="0"/>
    </w:pPr>
    <w:rPr>
      <w:rFonts w:ascii="Arial" w:hAnsi="Arial" w:cs="Arial"/>
      <w:color w:val="000000"/>
      <w:sz w:val="24"/>
      <w:szCs w:val="24"/>
    </w:rPr>
  </w:style>
  <w:style w:type="paragraph" w:styleId="NormalWeb">
    <w:name w:val="Normal (Web)"/>
    <w:basedOn w:val="Normal"/>
    <w:uiPriority w:val="99"/>
    <w:semiHidden/>
    <w:unhideWhenUsed/>
    <w:rsid w:val="00EE2289"/>
    <w:rPr>
      <w:rFonts w:ascii="Times New Roman" w:hAnsi="Times New Roman"/>
      <w:sz w:val="24"/>
      <w:szCs w:val="24"/>
    </w:rPr>
  </w:style>
  <w:style w:type="paragraph" w:styleId="BalloonText">
    <w:name w:val="Balloon Text"/>
    <w:basedOn w:val="Normal"/>
    <w:link w:val="BalloonTextChar"/>
    <w:uiPriority w:val="99"/>
    <w:semiHidden/>
    <w:unhideWhenUsed/>
    <w:rsid w:val="00332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3A"/>
    <w:rPr>
      <w:rFonts w:ascii="Segoe UI" w:hAnsi="Segoe UI" w:cs="Segoe UI"/>
      <w:sz w:val="18"/>
      <w:szCs w:val="18"/>
    </w:rPr>
  </w:style>
  <w:style w:type="character" w:styleId="CommentReference">
    <w:name w:val="annotation reference"/>
    <w:basedOn w:val="DefaultParagraphFont"/>
    <w:uiPriority w:val="99"/>
    <w:semiHidden/>
    <w:unhideWhenUsed/>
    <w:rsid w:val="009837BB"/>
    <w:rPr>
      <w:sz w:val="16"/>
      <w:szCs w:val="16"/>
    </w:rPr>
  </w:style>
  <w:style w:type="paragraph" w:styleId="CommentText">
    <w:name w:val="annotation text"/>
    <w:basedOn w:val="Normal"/>
    <w:link w:val="CommentTextChar"/>
    <w:uiPriority w:val="99"/>
    <w:semiHidden/>
    <w:unhideWhenUsed/>
    <w:rsid w:val="009837BB"/>
    <w:rPr>
      <w:sz w:val="20"/>
      <w:szCs w:val="20"/>
    </w:rPr>
  </w:style>
  <w:style w:type="character" w:customStyle="1" w:styleId="CommentTextChar">
    <w:name w:val="Comment Text Char"/>
    <w:basedOn w:val="DefaultParagraphFont"/>
    <w:link w:val="CommentText"/>
    <w:uiPriority w:val="99"/>
    <w:semiHidden/>
    <w:rsid w:val="009837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37BB"/>
    <w:rPr>
      <w:b/>
      <w:bCs/>
    </w:rPr>
  </w:style>
  <w:style w:type="character" w:customStyle="1" w:styleId="CommentSubjectChar">
    <w:name w:val="Comment Subject Char"/>
    <w:basedOn w:val="CommentTextChar"/>
    <w:link w:val="CommentSubject"/>
    <w:uiPriority w:val="99"/>
    <w:semiHidden/>
    <w:rsid w:val="009837BB"/>
    <w:rPr>
      <w:rFonts w:ascii="Calibri" w:hAnsi="Calibri" w:cs="Times New Roman"/>
      <w:b/>
      <w:bCs/>
      <w:sz w:val="20"/>
      <w:szCs w:val="20"/>
    </w:rPr>
  </w:style>
  <w:style w:type="paragraph" w:styleId="Revision">
    <w:name w:val="Revision"/>
    <w:hidden/>
    <w:uiPriority w:val="99"/>
    <w:semiHidden/>
    <w:rsid w:val="009837BB"/>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FE5516"/>
    <w:rPr>
      <w:color w:val="605E5C"/>
      <w:shd w:val="clear" w:color="auto" w:fill="E1DFDD"/>
    </w:rPr>
  </w:style>
  <w:style w:type="paragraph" w:styleId="PlainText">
    <w:name w:val="Plain Text"/>
    <w:basedOn w:val="Normal"/>
    <w:link w:val="PlainTextChar"/>
    <w:uiPriority w:val="99"/>
    <w:semiHidden/>
    <w:unhideWhenUsed/>
    <w:rsid w:val="00B0781F"/>
    <w:rPr>
      <w:rFonts w:cstheme="minorBidi"/>
      <w:szCs w:val="21"/>
    </w:rPr>
  </w:style>
  <w:style w:type="character" w:customStyle="1" w:styleId="PlainTextChar">
    <w:name w:val="Plain Text Char"/>
    <w:basedOn w:val="DefaultParagraphFont"/>
    <w:link w:val="PlainText"/>
    <w:uiPriority w:val="99"/>
    <w:semiHidden/>
    <w:rsid w:val="00B0781F"/>
    <w:rPr>
      <w:rFonts w:ascii="Calibri" w:hAnsi="Calibri"/>
      <w:szCs w:val="21"/>
    </w:rPr>
  </w:style>
  <w:style w:type="character" w:customStyle="1" w:styleId="Heading1Char">
    <w:name w:val="Heading 1 Char"/>
    <w:basedOn w:val="DefaultParagraphFont"/>
    <w:link w:val="Heading1"/>
    <w:rsid w:val="006B239A"/>
    <w:rPr>
      <w:rFonts w:ascii="Times New Roman" w:eastAsia="Times New Roman" w:hAnsi="Times New Roman" w:cs="Times New Roman"/>
      <w:b/>
      <w:sz w:val="20"/>
      <w:szCs w:val="20"/>
    </w:rPr>
  </w:style>
  <w:style w:type="character" w:customStyle="1" w:styleId="Heading6Char">
    <w:name w:val="Heading 6 Char"/>
    <w:basedOn w:val="DefaultParagraphFont"/>
    <w:link w:val="Heading6"/>
    <w:semiHidden/>
    <w:rsid w:val="006B239A"/>
    <w:rPr>
      <w:rFonts w:ascii="Times New Roman" w:eastAsia="Times New Roman" w:hAnsi="Times New Roman" w:cs="Times New Roman"/>
      <w:b/>
      <w:bC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81">
      <w:bodyDiv w:val="1"/>
      <w:marLeft w:val="0"/>
      <w:marRight w:val="0"/>
      <w:marTop w:val="0"/>
      <w:marBottom w:val="0"/>
      <w:divBdr>
        <w:top w:val="none" w:sz="0" w:space="0" w:color="auto"/>
        <w:left w:val="none" w:sz="0" w:space="0" w:color="auto"/>
        <w:bottom w:val="none" w:sz="0" w:space="0" w:color="auto"/>
        <w:right w:val="none" w:sz="0" w:space="0" w:color="auto"/>
      </w:divBdr>
    </w:div>
    <w:div w:id="31806681">
      <w:bodyDiv w:val="1"/>
      <w:marLeft w:val="0"/>
      <w:marRight w:val="0"/>
      <w:marTop w:val="0"/>
      <w:marBottom w:val="0"/>
      <w:divBdr>
        <w:top w:val="none" w:sz="0" w:space="0" w:color="auto"/>
        <w:left w:val="none" w:sz="0" w:space="0" w:color="auto"/>
        <w:bottom w:val="none" w:sz="0" w:space="0" w:color="auto"/>
        <w:right w:val="none" w:sz="0" w:space="0" w:color="auto"/>
      </w:divBdr>
    </w:div>
    <w:div w:id="76679298">
      <w:bodyDiv w:val="1"/>
      <w:marLeft w:val="0"/>
      <w:marRight w:val="0"/>
      <w:marTop w:val="0"/>
      <w:marBottom w:val="0"/>
      <w:divBdr>
        <w:top w:val="none" w:sz="0" w:space="0" w:color="auto"/>
        <w:left w:val="none" w:sz="0" w:space="0" w:color="auto"/>
        <w:bottom w:val="none" w:sz="0" w:space="0" w:color="auto"/>
        <w:right w:val="none" w:sz="0" w:space="0" w:color="auto"/>
      </w:divBdr>
    </w:div>
    <w:div w:id="80107922">
      <w:bodyDiv w:val="1"/>
      <w:marLeft w:val="0"/>
      <w:marRight w:val="0"/>
      <w:marTop w:val="0"/>
      <w:marBottom w:val="0"/>
      <w:divBdr>
        <w:top w:val="none" w:sz="0" w:space="0" w:color="auto"/>
        <w:left w:val="none" w:sz="0" w:space="0" w:color="auto"/>
        <w:bottom w:val="none" w:sz="0" w:space="0" w:color="auto"/>
        <w:right w:val="none" w:sz="0" w:space="0" w:color="auto"/>
      </w:divBdr>
    </w:div>
    <w:div w:id="147211531">
      <w:bodyDiv w:val="1"/>
      <w:marLeft w:val="0"/>
      <w:marRight w:val="0"/>
      <w:marTop w:val="0"/>
      <w:marBottom w:val="0"/>
      <w:divBdr>
        <w:top w:val="none" w:sz="0" w:space="0" w:color="auto"/>
        <w:left w:val="none" w:sz="0" w:space="0" w:color="auto"/>
        <w:bottom w:val="none" w:sz="0" w:space="0" w:color="auto"/>
        <w:right w:val="none" w:sz="0" w:space="0" w:color="auto"/>
      </w:divBdr>
    </w:div>
    <w:div w:id="153187491">
      <w:bodyDiv w:val="1"/>
      <w:marLeft w:val="0"/>
      <w:marRight w:val="0"/>
      <w:marTop w:val="0"/>
      <w:marBottom w:val="0"/>
      <w:divBdr>
        <w:top w:val="none" w:sz="0" w:space="0" w:color="auto"/>
        <w:left w:val="none" w:sz="0" w:space="0" w:color="auto"/>
        <w:bottom w:val="none" w:sz="0" w:space="0" w:color="auto"/>
        <w:right w:val="none" w:sz="0" w:space="0" w:color="auto"/>
      </w:divBdr>
    </w:div>
    <w:div w:id="189950164">
      <w:bodyDiv w:val="1"/>
      <w:marLeft w:val="0"/>
      <w:marRight w:val="0"/>
      <w:marTop w:val="0"/>
      <w:marBottom w:val="0"/>
      <w:divBdr>
        <w:top w:val="none" w:sz="0" w:space="0" w:color="auto"/>
        <w:left w:val="none" w:sz="0" w:space="0" w:color="auto"/>
        <w:bottom w:val="none" w:sz="0" w:space="0" w:color="auto"/>
        <w:right w:val="none" w:sz="0" w:space="0" w:color="auto"/>
      </w:divBdr>
    </w:div>
    <w:div w:id="218562956">
      <w:bodyDiv w:val="1"/>
      <w:marLeft w:val="0"/>
      <w:marRight w:val="0"/>
      <w:marTop w:val="0"/>
      <w:marBottom w:val="0"/>
      <w:divBdr>
        <w:top w:val="none" w:sz="0" w:space="0" w:color="auto"/>
        <w:left w:val="none" w:sz="0" w:space="0" w:color="auto"/>
        <w:bottom w:val="none" w:sz="0" w:space="0" w:color="auto"/>
        <w:right w:val="none" w:sz="0" w:space="0" w:color="auto"/>
      </w:divBdr>
    </w:div>
    <w:div w:id="219707782">
      <w:bodyDiv w:val="1"/>
      <w:marLeft w:val="0"/>
      <w:marRight w:val="0"/>
      <w:marTop w:val="0"/>
      <w:marBottom w:val="0"/>
      <w:divBdr>
        <w:top w:val="none" w:sz="0" w:space="0" w:color="auto"/>
        <w:left w:val="none" w:sz="0" w:space="0" w:color="auto"/>
        <w:bottom w:val="none" w:sz="0" w:space="0" w:color="auto"/>
        <w:right w:val="none" w:sz="0" w:space="0" w:color="auto"/>
      </w:divBdr>
    </w:div>
    <w:div w:id="233128360">
      <w:bodyDiv w:val="1"/>
      <w:marLeft w:val="0"/>
      <w:marRight w:val="0"/>
      <w:marTop w:val="0"/>
      <w:marBottom w:val="0"/>
      <w:divBdr>
        <w:top w:val="none" w:sz="0" w:space="0" w:color="auto"/>
        <w:left w:val="none" w:sz="0" w:space="0" w:color="auto"/>
        <w:bottom w:val="none" w:sz="0" w:space="0" w:color="auto"/>
        <w:right w:val="none" w:sz="0" w:space="0" w:color="auto"/>
      </w:divBdr>
    </w:div>
    <w:div w:id="259265287">
      <w:bodyDiv w:val="1"/>
      <w:marLeft w:val="0"/>
      <w:marRight w:val="0"/>
      <w:marTop w:val="0"/>
      <w:marBottom w:val="0"/>
      <w:divBdr>
        <w:top w:val="none" w:sz="0" w:space="0" w:color="auto"/>
        <w:left w:val="none" w:sz="0" w:space="0" w:color="auto"/>
        <w:bottom w:val="none" w:sz="0" w:space="0" w:color="auto"/>
        <w:right w:val="none" w:sz="0" w:space="0" w:color="auto"/>
      </w:divBdr>
    </w:div>
    <w:div w:id="276068011">
      <w:bodyDiv w:val="1"/>
      <w:marLeft w:val="0"/>
      <w:marRight w:val="0"/>
      <w:marTop w:val="0"/>
      <w:marBottom w:val="0"/>
      <w:divBdr>
        <w:top w:val="none" w:sz="0" w:space="0" w:color="auto"/>
        <w:left w:val="none" w:sz="0" w:space="0" w:color="auto"/>
        <w:bottom w:val="none" w:sz="0" w:space="0" w:color="auto"/>
        <w:right w:val="none" w:sz="0" w:space="0" w:color="auto"/>
      </w:divBdr>
    </w:div>
    <w:div w:id="296027984">
      <w:bodyDiv w:val="1"/>
      <w:marLeft w:val="0"/>
      <w:marRight w:val="0"/>
      <w:marTop w:val="0"/>
      <w:marBottom w:val="0"/>
      <w:divBdr>
        <w:top w:val="none" w:sz="0" w:space="0" w:color="auto"/>
        <w:left w:val="none" w:sz="0" w:space="0" w:color="auto"/>
        <w:bottom w:val="none" w:sz="0" w:space="0" w:color="auto"/>
        <w:right w:val="none" w:sz="0" w:space="0" w:color="auto"/>
      </w:divBdr>
    </w:div>
    <w:div w:id="329530789">
      <w:bodyDiv w:val="1"/>
      <w:marLeft w:val="0"/>
      <w:marRight w:val="0"/>
      <w:marTop w:val="0"/>
      <w:marBottom w:val="0"/>
      <w:divBdr>
        <w:top w:val="none" w:sz="0" w:space="0" w:color="auto"/>
        <w:left w:val="none" w:sz="0" w:space="0" w:color="auto"/>
        <w:bottom w:val="none" w:sz="0" w:space="0" w:color="auto"/>
        <w:right w:val="none" w:sz="0" w:space="0" w:color="auto"/>
      </w:divBdr>
    </w:div>
    <w:div w:id="331883492">
      <w:bodyDiv w:val="1"/>
      <w:marLeft w:val="0"/>
      <w:marRight w:val="0"/>
      <w:marTop w:val="0"/>
      <w:marBottom w:val="0"/>
      <w:divBdr>
        <w:top w:val="none" w:sz="0" w:space="0" w:color="auto"/>
        <w:left w:val="none" w:sz="0" w:space="0" w:color="auto"/>
        <w:bottom w:val="none" w:sz="0" w:space="0" w:color="auto"/>
        <w:right w:val="none" w:sz="0" w:space="0" w:color="auto"/>
      </w:divBdr>
    </w:div>
    <w:div w:id="333344513">
      <w:bodyDiv w:val="1"/>
      <w:marLeft w:val="0"/>
      <w:marRight w:val="0"/>
      <w:marTop w:val="0"/>
      <w:marBottom w:val="0"/>
      <w:divBdr>
        <w:top w:val="none" w:sz="0" w:space="0" w:color="auto"/>
        <w:left w:val="none" w:sz="0" w:space="0" w:color="auto"/>
        <w:bottom w:val="none" w:sz="0" w:space="0" w:color="auto"/>
        <w:right w:val="none" w:sz="0" w:space="0" w:color="auto"/>
      </w:divBdr>
    </w:div>
    <w:div w:id="361976597">
      <w:bodyDiv w:val="1"/>
      <w:marLeft w:val="0"/>
      <w:marRight w:val="0"/>
      <w:marTop w:val="0"/>
      <w:marBottom w:val="0"/>
      <w:divBdr>
        <w:top w:val="none" w:sz="0" w:space="0" w:color="auto"/>
        <w:left w:val="none" w:sz="0" w:space="0" w:color="auto"/>
        <w:bottom w:val="none" w:sz="0" w:space="0" w:color="auto"/>
        <w:right w:val="none" w:sz="0" w:space="0" w:color="auto"/>
      </w:divBdr>
    </w:div>
    <w:div w:id="372116604">
      <w:bodyDiv w:val="1"/>
      <w:marLeft w:val="0"/>
      <w:marRight w:val="0"/>
      <w:marTop w:val="0"/>
      <w:marBottom w:val="0"/>
      <w:divBdr>
        <w:top w:val="none" w:sz="0" w:space="0" w:color="auto"/>
        <w:left w:val="none" w:sz="0" w:space="0" w:color="auto"/>
        <w:bottom w:val="none" w:sz="0" w:space="0" w:color="auto"/>
        <w:right w:val="none" w:sz="0" w:space="0" w:color="auto"/>
      </w:divBdr>
    </w:div>
    <w:div w:id="374044603">
      <w:bodyDiv w:val="1"/>
      <w:marLeft w:val="0"/>
      <w:marRight w:val="0"/>
      <w:marTop w:val="0"/>
      <w:marBottom w:val="0"/>
      <w:divBdr>
        <w:top w:val="none" w:sz="0" w:space="0" w:color="auto"/>
        <w:left w:val="none" w:sz="0" w:space="0" w:color="auto"/>
        <w:bottom w:val="none" w:sz="0" w:space="0" w:color="auto"/>
        <w:right w:val="none" w:sz="0" w:space="0" w:color="auto"/>
      </w:divBdr>
    </w:div>
    <w:div w:id="395250974">
      <w:bodyDiv w:val="1"/>
      <w:marLeft w:val="0"/>
      <w:marRight w:val="0"/>
      <w:marTop w:val="0"/>
      <w:marBottom w:val="0"/>
      <w:divBdr>
        <w:top w:val="none" w:sz="0" w:space="0" w:color="auto"/>
        <w:left w:val="none" w:sz="0" w:space="0" w:color="auto"/>
        <w:bottom w:val="none" w:sz="0" w:space="0" w:color="auto"/>
        <w:right w:val="none" w:sz="0" w:space="0" w:color="auto"/>
      </w:divBdr>
    </w:div>
    <w:div w:id="407659245">
      <w:bodyDiv w:val="1"/>
      <w:marLeft w:val="0"/>
      <w:marRight w:val="0"/>
      <w:marTop w:val="0"/>
      <w:marBottom w:val="0"/>
      <w:divBdr>
        <w:top w:val="none" w:sz="0" w:space="0" w:color="auto"/>
        <w:left w:val="none" w:sz="0" w:space="0" w:color="auto"/>
        <w:bottom w:val="none" w:sz="0" w:space="0" w:color="auto"/>
        <w:right w:val="none" w:sz="0" w:space="0" w:color="auto"/>
      </w:divBdr>
    </w:div>
    <w:div w:id="417485861">
      <w:bodyDiv w:val="1"/>
      <w:marLeft w:val="0"/>
      <w:marRight w:val="0"/>
      <w:marTop w:val="0"/>
      <w:marBottom w:val="0"/>
      <w:divBdr>
        <w:top w:val="none" w:sz="0" w:space="0" w:color="auto"/>
        <w:left w:val="none" w:sz="0" w:space="0" w:color="auto"/>
        <w:bottom w:val="none" w:sz="0" w:space="0" w:color="auto"/>
        <w:right w:val="none" w:sz="0" w:space="0" w:color="auto"/>
      </w:divBdr>
    </w:div>
    <w:div w:id="421298035">
      <w:bodyDiv w:val="1"/>
      <w:marLeft w:val="0"/>
      <w:marRight w:val="0"/>
      <w:marTop w:val="0"/>
      <w:marBottom w:val="0"/>
      <w:divBdr>
        <w:top w:val="none" w:sz="0" w:space="0" w:color="auto"/>
        <w:left w:val="none" w:sz="0" w:space="0" w:color="auto"/>
        <w:bottom w:val="none" w:sz="0" w:space="0" w:color="auto"/>
        <w:right w:val="none" w:sz="0" w:space="0" w:color="auto"/>
      </w:divBdr>
    </w:div>
    <w:div w:id="451098293">
      <w:bodyDiv w:val="1"/>
      <w:marLeft w:val="0"/>
      <w:marRight w:val="0"/>
      <w:marTop w:val="0"/>
      <w:marBottom w:val="0"/>
      <w:divBdr>
        <w:top w:val="none" w:sz="0" w:space="0" w:color="auto"/>
        <w:left w:val="none" w:sz="0" w:space="0" w:color="auto"/>
        <w:bottom w:val="none" w:sz="0" w:space="0" w:color="auto"/>
        <w:right w:val="none" w:sz="0" w:space="0" w:color="auto"/>
      </w:divBdr>
    </w:div>
    <w:div w:id="465466119">
      <w:bodyDiv w:val="1"/>
      <w:marLeft w:val="0"/>
      <w:marRight w:val="0"/>
      <w:marTop w:val="0"/>
      <w:marBottom w:val="0"/>
      <w:divBdr>
        <w:top w:val="none" w:sz="0" w:space="0" w:color="auto"/>
        <w:left w:val="none" w:sz="0" w:space="0" w:color="auto"/>
        <w:bottom w:val="none" w:sz="0" w:space="0" w:color="auto"/>
        <w:right w:val="none" w:sz="0" w:space="0" w:color="auto"/>
      </w:divBdr>
    </w:div>
    <w:div w:id="477839675">
      <w:bodyDiv w:val="1"/>
      <w:marLeft w:val="0"/>
      <w:marRight w:val="0"/>
      <w:marTop w:val="0"/>
      <w:marBottom w:val="0"/>
      <w:divBdr>
        <w:top w:val="none" w:sz="0" w:space="0" w:color="auto"/>
        <w:left w:val="none" w:sz="0" w:space="0" w:color="auto"/>
        <w:bottom w:val="none" w:sz="0" w:space="0" w:color="auto"/>
        <w:right w:val="none" w:sz="0" w:space="0" w:color="auto"/>
      </w:divBdr>
    </w:div>
    <w:div w:id="482897054">
      <w:bodyDiv w:val="1"/>
      <w:marLeft w:val="0"/>
      <w:marRight w:val="0"/>
      <w:marTop w:val="0"/>
      <w:marBottom w:val="0"/>
      <w:divBdr>
        <w:top w:val="none" w:sz="0" w:space="0" w:color="auto"/>
        <w:left w:val="none" w:sz="0" w:space="0" w:color="auto"/>
        <w:bottom w:val="none" w:sz="0" w:space="0" w:color="auto"/>
        <w:right w:val="none" w:sz="0" w:space="0" w:color="auto"/>
      </w:divBdr>
    </w:div>
    <w:div w:id="491213704">
      <w:bodyDiv w:val="1"/>
      <w:marLeft w:val="0"/>
      <w:marRight w:val="0"/>
      <w:marTop w:val="0"/>
      <w:marBottom w:val="0"/>
      <w:divBdr>
        <w:top w:val="none" w:sz="0" w:space="0" w:color="auto"/>
        <w:left w:val="none" w:sz="0" w:space="0" w:color="auto"/>
        <w:bottom w:val="none" w:sz="0" w:space="0" w:color="auto"/>
        <w:right w:val="none" w:sz="0" w:space="0" w:color="auto"/>
      </w:divBdr>
    </w:div>
    <w:div w:id="505245833">
      <w:bodyDiv w:val="1"/>
      <w:marLeft w:val="0"/>
      <w:marRight w:val="0"/>
      <w:marTop w:val="0"/>
      <w:marBottom w:val="0"/>
      <w:divBdr>
        <w:top w:val="none" w:sz="0" w:space="0" w:color="auto"/>
        <w:left w:val="none" w:sz="0" w:space="0" w:color="auto"/>
        <w:bottom w:val="none" w:sz="0" w:space="0" w:color="auto"/>
        <w:right w:val="none" w:sz="0" w:space="0" w:color="auto"/>
      </w:divBdr>
    </w:div>
    <w:div w:id="506098354">
      <w:bodyDiv w:val="1"/>
      <w:marLeft w:val="0"/>
      <w:marRight w:val="0"/>
      <w:marTop w:val="0"/>
      <w:marBottom w:val="0"/>
      <w:divBdr>
        <w:top w:val="none" w:sz="0" w:space="0" w:color="auto"/>
        <w:left w:val="none" w:sz="0" w:space="0" w:color="auto"/>
        <w:bottom w:val="none" w:sz="0" w:space="0" w:color="auto"/>
        <w:right w:val="none" w:sz="0" w:space="0" w:color="auto"/>
      </w:divBdr>
    </w:div>
    <w:div w:id="509955700">
      <w:bodyDiv w:val="1"/>
      <w:marLeft w:val="0"/>
      <w:marRight w:val="0"/>
      <w:marTop w:val="0"/>
      <w:marBottom w:val="0"/>
      <w:divBdr>
        <w:top w:val="none" w:sz="0" w:space="0" w:color="auto"/>
        <w:left w:val="none" w:sz="0" w:space="0" w:color="auto"/>
        <w:bottom w:val="none" w:sz="0" w:space="0" w:color="auto"/>
        <w:right w:val="none" w:sz="0" w:space="0" w:color="auto"/>
      </w:divBdr>
    </w:div>
    <w:div w:id="536429200">
      <w:bodyDiv w:val="1"/>
      <w:marLeft w:val="0"/>
      <w:marRight w:val="0"/>
      <w:marTop w:val="0"/>
      <w:marBottom w:val="0"/>
      <w:divBdr>
        <w:top w:val="none" w:sz="0" w:space="0" w:color="auto"/>
        <w:left w:val="none" w:sz="0" w:space="0" w:color="auto"/>
        <w:bottom w:val="none" w:sz="0" w:space="0" w:color="auto"/>
        <w:right w:val="none" w:sz="0" w:space="0" w:color="auto"/>
      </w:divBdr>
    </w:div>
    <w:div w:id="548883904">
      <w:bodyDiv w:val="1"/>
      <w:marLeft w:val="0"/>
      <w:marRight w:val="0"/>
      <w:marTop w:val="0"/>
      <w:marBottom w:val="0"/>
      <w:divBdr>
        <w:top w:val="none" w:sz="0" w:space="0" w:color="auto"/>
        <w:left w:val="none" w:sz="0" w:space="0" w:color="auto"/>
        <w:bottom w:val="none" w:sz="0" w:space="0" w:color="auto"/>
        <w:right w:val="none" w:sz="0" w:space="0" w:color="auto"/>
      </w:divBdr>
    </w:div>
    <w:div w:id="556746188">
      <w:bodyDiv w:val="1"/>
      <w:marLeft w:val="0"/>
      <w:marRight w:val="0"/>
      <w:marTop w:val="0"/>
      <w:marBottom w:val="0"/>
      <w:divBdr>
        <w:top w:val="none" w:sz="0" w:space="0" w:color="auto"/>
        <w:left w:val="none" w:sz="0" w:space="0" w:color="auto"/>
        <w:bottom w:val="none" w:sz="0" w:space="0" w:color="auto"/>
        <w:right w:val="none" w:sz="0" w:space="0" w:color="auto"/>
      </w:divBdr>
    </w:div>
    <w:div w:id="559023871">
      <w:bodyDiv w:val="1"/>
      <w:marLeft w:val="0"/>
      <w:marRight w:val="0"/>
      <w:marTop w:val="0"/>
      <w:marBottom w:val="0"/>
      <w:divBdr>
        <w:top w:val="none" w:sz="0" w:space="0" w:color="auto"/>
        <w:left w:val="none" w:sz="0" w:space="0" w:color="auto"/>
        <w:bottom w:val="none" w:sz="0" w:space="0" w:color="auto"/>
        <w:right w:val="none" w:sz="0" w:space="0" w:color="auto"/>
      </w:divBdr>
    </w:div>
    <w:div w:id="574051843">
      <w:bodyDiv w:val="1"/>
      <w:marLeft w:val="0"/>
      <w:marRight w:val="0"/>
      <w:marTop w:val="0"/>
      <w:marBottom w:val="0"/>
      <w:divBdr>
        <w:top w:val="none" w:sz="0" w:space="0" w:color="auto"/>
        <w:left w:val="none" w:sz="0" w:space="0" w:color="auto"/>
        <w:bottom w:val="none" w:sz="0" w:space="0" w:color="auto"/>
        <w:right w:val="none" w:sz="0" w:space="0" w:color="auto"/>
      </w:divBdr>
    </w:div>
    <w:div w:id="581526256">
      <w:bodyDiv w:val="1"/>
      <w:marLeft w:val="0"/>
      <w:marRight w:val="0"/>
      <w:marTop w:val="0"/>
      <w:marBottom w:val="0"/>
      <w:divBdr>
        <w:top w:val="none" w:sz="0" w:space="0" w:color="auto"/>
        <w:left w:val="none" w:sz="0" w:space="0" w:color="auto"/>
        <w:bottom w:val="none" w:sz="0" w:space="0" w:color="auto"/>
        <w:right w:val="none" w:sz="0" w:space="0" w:color="auto"/>
      </w:divBdr>
    </w:div>
    <w:div w:id="581527593">
      <w:bodyDiv w:val="1"/>
      <w:marLeft w:val="0"/>
      <w:marRight w:val="0"/>
      <w:marTop w:val="0"/>
      <w:marBottom w:val="0"/>
      <w:divBdr>
        <w:top w:val="none" w:sz="0" w:space="0" w:color="auto"/>
        <w:left w:val="none" w:sz="0" w:space="0" w:color="auto"/>
        <w:bottom w:val="none" w:sz="0" w:space="0" w:color="auto"/>
        <w:right w:val="none" w:sz="0" w:space="0" w:color="auto"/>
      </w:divBdr>
    </w:div>
    <w:div w:id="582298191">
      <w:bodyDiv w:val="1"/>
      <w:marLeft w:val="0"/>
      <w:marRight w:val="0"/>
      <w:marTop w:val="0"/>
      <w:marBottom w:val="0"/>
      <w:divBdr>
        <w:top w:val="none" w:sz="0" w:space="0" w:color="auto"/>
        <w:left w:val="none" w:sz="0" w:space="0" w:color="auto"/>
        <w:bottom w:val="none" w:sz="0" w:space="0" w:color="auto"/>
        <w:right w:val="none" w:sz="0" w:space="0" w:color="auto"/>
      </w:divBdr>
    </w:div>
    <w:div w:id="603221416">
      <w:bodyDiv w:val="1"/>
      <w:marLeft w:val="0"/>
      <w:marRight w:val="0"/>
      <w:marTop w:val="0"/>
      <w:marBottom w:val="0"/>
      <w:divBdr>
        <w:top w:val="none" w:sz="0" w:space="0" w:color="auto"/>
        <w:left w:val="none" w:sz="0" w:space="0" w:color="auto"/>
        <w:bottom w:val="none" w:sz="0" w:space="0" w:color="auto"/>
        <w:right w:val="none" w:sz="0" w:space="0" w:color="auto"/>
      </w:divBdr>
    </w:div>
    <w:div w:id="609553694">
      <w:bodyDiv w:val="1"/>
      <w:marLeft w:val="0"/>
      <w:marRight w:val="0"/>
      <w:marTop w:val="0"/>
      <w:marBottom w:val="0"/>
      <w:divBdr>
        <w:top w:val="none" w:sz="0" w:space="0" w:color="auto"/>
        <w:left w:val="none" w:sz="0" w:space="0" w:color="auto"/>
        <w:bottom w:val="none" w:sz="0" w:space="0" w:color="auto"/>
        <w:right w:val="none" w:sz="0" w:space="0" w:color="auto"/>
      </w:divBdr>
    </w:div>
    <w:div w:id="616791753">
      <w:bodyDiv w:val="1"/>
      <w:marLeft w:val="0"/>
      <w:marRight w:val="0"/>
      <w:marTop w:val="0"/>
      <w:marBottom w:val="0"/>
      <w:divBdr>
        <w:top w:val="none" w:sz="0" w:space="0" w:color="auto"/>
        <w:left w:val="none" w:sz="0" w:space="0" w:color="auto"/>
        <w:bottom w:val="none" w:sz="0" w:space="0" w:color="auto"/>
        <w:right w:val="none" w:sz="0" w:space="0" w:color="auto"/>
      </w:divBdr>
    </w:div>
    <w:div w:id="631209712">
      <w:bodyDiv w:val="1"/>
      <w:marLeft w:val="0"/>
      <w:marRight w:val="0"/>
      <w:marTop w:val="0"/>
      <w:marBottom w:val="0"/>
      <w:divBdr>
        <w:top w:val="none" w:sz="0" w:space="0" w:color="auto"/>
        <w:left w:val="none" w:sz="0" w:space="0" w:color="auto"/>
        <w:bottom w:val="none" w:sz="0" w:space="0" w:color="auto"/>
        <w:right w:val="none" w:sz="0" w:space="0" w:color="auto"/>
      </w:divBdr>
    </w:div>
    <w:div w:id="654262341">
      <w:bodyDiv w:val="1"/>
      <w:marLeft w:val="0"/>
      <w:marRight w:val="0"/>
      <w:marTop w:val="0"/>
      <w:marBottom w:val="0"/>
      <w:divBdr>
        <w:top w:val="none" w:sz="0" w:space="0" w:color="auto"/>
        <w:left w:val="none" w:sz="0" w:space="0" w:color="auto"/>
        <w:bottom w:val="none" w:sz="0" w:space="0" w:color="auto"/>
        <w:right w:val="none" w:sz="0" w:space="0" w:color="auto"/>
      </w:divBdr>
    </w:div>
    <w:div w:id="681859298">
      <w:bodyDiv w:val="1"/>
      <w:marLeft w:val="0"/>
      <w:marRight w:val="0"/>
      <w:marTop w:val="0"/>
      <w:marBottom w:val="0"/>
      <w:divBdr>
        <w:top w:val="none" w:sz="0" w:space="0" w:color="auto"/>
        <w:left w:val="none" w:sz="0" w:space="0" w:color="auto"/>
        <w:bottom w:val="none" w:sz="0" w:space="0" w:color="auto"/>
        <w:right w:val="none" w:sz="0" w:space="0" w:color="auto"/>
      </w:divBdr>
    </w:div>
    <w:div w:id="691613977">
      <w:bodyDiv w:val="1"/>
      <w:marLeft w:val="0"/>
      <w:marRight w:val="0"/>
      <w:marTop w:val="0"/>
      <w:marBottom w:val="0"/>
      <w:divBdr>
        <w:top w:val="none" w:sz="0" w:space="0" w:color="auto"/>
        <w:left w:val="none" w:sz="0" w:space="0" w:color="auto"/>
        <w:bottom w:val="none" w:sz="0" w:space="0" w:color="auto"/>
        <w:right w:val="none" w:sz="0" w:space="0" w:color="auto"/>
      </w:divBdr>
    </w:div>
    <w:div w:id="700202852">
      <w:bodyDiv w:val="1"/>
      <w:marLeft w:val="0"/>
      <w:marRight w:val="0"/>
      <w:marTop w:val="0"/>
      <w:marBottom w:val="0"/>
      <w:divBdr>
        <w:top w:val="none" w:sz="0" w:space="0" w:color="auto"/>
        <w:left w:val="none" w:sz="0" w:space="0" w:color="auto"/>
        <w:bottom w:val="none" w:sz="0" w:space="0" w:color="auto"/>
        <w:right w:val="none" w:sz="0" w:space="0" w:color="auto"/>
      </w:divBdr>
    </w:div>
    <w:div w:id="709959950">
      <w:bodyDiv w:val="1"/>
      <w:marLeft w:val="0"/>
      <w:marRight w:val="0"/>
      <w:marTop w:val="0"/>
      <w:marBottom w:val="0"/>
      <w:divBdr>
        <w:top w:val="none" w:sz="0" w:space="0" w:color="auto"/>
        <w:left w:val="none" w:sz="0" w:space="0" w:color="auto"/>
        <w:bottom w:val="none" w:sz="0" w:space="0" w:color="auto"/>
        <w:right w:val="none" w:sz="0" w:space="0" w:color="auto"/>
      </w:divBdr>
    </w:div>
    <w:div w:id="710693781">
      <w:bodyDiv w:val="1"/>
      <w:marLeft w:val="0"/>
      <w:marRight w:val="0"/>
      <w:marTop w:val="0"/>
      <w:marBottom w:val="0"/>
      <w:divBdr>
        <w:top w:val="none" w:sz="0" w:space="0" w:color="auto"/>
        <w:left w:val="none" w:sz="0" w:space="0" w:color="auto"/>
        <w:bottom w:val="none" w:sz="0" w:space="0" w:color="auto"/>
        <w:right w:val="none" w:sz="0" w:space="0" w:color="auto"/>
      </w:divBdr>
    </w:div>
    <w:div w:id="745341252">
      <w:bodyDiv w:val="1"/>
      <w:marLeft w:val="0"/>
      <w:marRight w:val="0"/>
      <w:marTop w:val="0"/>
      <w:marBottom w:val="0"/>
      <w:divBdr>
        <w:top w:val="none" w:sz="0" w:space="0" w:color="auto"/>
        <w:left w:val="none" w:sz="0" w:space="0" w:color="auto"/>
        <w:bottom w:val="none" w:sz="0" w:space="0" w:color="auto"/>
        <w:right w:val="none" w:sz="0" w:space="0" w:color="auto"/>
      </w:divBdr>
    </w:div>
    <w:div w:id="755328094">
      <w:bodyDiv w:val="1"/>
      <w:marLeft w:val="0"/>
      <w:marRight w:val="0"/>
      <w:marTop w:val="0"/>
      <w:marBottom w:val="0"/>
      <w:divBdr>
        <w:top w:val="none" w:sz="0" w:space="0" w:color="auto"/>
        <w:left w:val="none" w:sz="0" w:space="0" w:color="auto"/>
        <w:bottom w:val="none" w:sz="0" w:space="0" w:color="auto"/>
        <w:right w:val="none" w:sz="0" w:space="0" w:color="auto"/>
      </w:divBdr>
    </w:div>
    <w:div w:id="762920656">
      <w:bodyDiv w:val="1"/>
      <w:marLeft w:val="0"/>
      <w:marRight w:val="0"/>
      <w:marTop w:val="0"/>
      <w:marBottom w:val="0"/>
      <w:divBdr>
        <w:top w:val="none" w:sz="0" w:space="0" w:color="auto"/>
        <w:left w:val="none" w:sz="0" w:space="0" w:color="auto"/>
        <w:bottom w:val="none" w:sz="0" w:space="0" w:color="auto"/>
        <w:right w:val="none" w:sz="0" w:space="0" w:color="auto"/>
      </w:divBdr>
    </w:div>
    <w:div w:id="793015966">
      <w:bodyDiv w:val="1"/>
      <w:marLeft w:val="0"/>
      <w:marRight w:val="0"/>
      <w:marTop w:val="0"/>
      <w:marBottom w:val="0"/>
      <w:divBdr>
        <w:top w:val="none" w:sz="0" w:space="0" w:color="auto"/>
        <w:left w:val="none" w:sz="0" w:space="0" w:color="auto"/>
        <w:bottom w:val="none" w:sz="0" w:space="0" w:color="auto"/>
        <w:right w:val="none" w:sz="0" w:space="0" w:color="auto"/>
      </w:divBdr>
    </w:div>
    <w:div w:id="794063864">
      <w:bodyDiv w:val="1"/>
      <w:marLeft w:val="0"/>
      <w:marRight w:val="0"/>
      <w:marTop w:val="0"/>
      <w:marBottom w:val="0"/>
      <w:divBdr>
        <w:top w:val="none" w:sz="0" w:space="0" w:color="auto"/>
        <w:left w:val="none" w:sz="0" w:space="0" w:color="auto"/>
        <w:bottom w:val="none" w:sz="0" w:space="0" w:color="auto"/>
        <w:right w:val="none" w:sz="0" w:space="0" w:color="auto"/>
      </w:divBdr>
    </w:div>
    <w:div w:id="798959504">
      <w:bodyDiv w:val="1"/>
      <w:marLeft w:val="0"/>
      <w:marRight w:val="0"/>
      <w:marTop w:val="0"/>
      <w:marBottom w:val="0"/>
      <w:divBdr>
        <w:top w:val="none" w:sz="0" w:space="0" w:color="auto"/>
        <w:left w:val="none" w:sz="0" w:space="0" w:color="auto"/>
        <w:bottom w:val="none" w:sz="0" w:space="0" w:color="auto"/>
        <w:right w:val="none" w:sz="0" w:space="0" w:color="auto"/>
      </w:divBdr>
    </w:div>
    <w:div w:id="815336461">
      <w:bodyDiv w:val="1"/>
      <w:marLeft w:val="0"/>
      <w:marRight w:val="0"/>
      <w:marTop w:val="0"/>
      <w:marBottom w:val="0"/>
      <w:divBdr>
        <w:top w:val="none" w:sz="0" w:space="0" w:color="auto"/>
        <w:left w:val="none" w:sz="0" w:space="0" w:color="auto"/>
        <w:bottom w:val="none" w:sz="0" w:space="0" w:color="auto"/>
        <w:right w:val="none" w:sz="0" w:space="0" w:color="auto"/>
      </w:divBdr>
    </w:div>
    <w:div w:id="863859405">
      <w:bodyDiv w:val="1"/>
      <w:marLeft w:val="0"/>
      <w:marRight w:val="0"/>
      <w:marTop w:val="0"/>
      <w:marBottom w:val="0"/>
      <w:divBdr>
        <w:top w:val="none" w:sz="0" w:space="0" w:color="auto"/>
        <w:left w:val="none" w:sz="0" w:space="0" w:color="auto"/>
        <w:bottom w:val="none" w:sz="0" w:space="0" w:color="auto"/>
        <w:right w:val="none" w:sz="0" w:space="0" w:color="auto"/>
      </w:divBdr>
    </w:div>
    <w:div w:id="864946128">
      <w:bodyDiv w:val="1"/>
      <w:marLeft w:val="0"/>
      <w:marRight w:val="0"/>
      <w:marTop w:val="0"/>
      <w:marBottom w:val="0"/>
      <w:divBdr>
        <w:top w:val="none" w:sz="0" w:space="0" w:color="auto"/>
        <w:left w:val="none" w:sz="0" w:space="0" w:color="auto"/>
        <w:bottom w:val="none" w:sz="0" w:space="0" w:color="auto"/>
        <w:right w:val="none" w:sz="0" w:space="0" w:color="auto"/>
      </w:divBdr>
    </w:div>
    <w:div w:id="881985408">
      <w:bodyDiv w:val="1"/>
      <w:marLeft w:val="0"/>
      <w:marRight w:val="0"/>
      <w:marTop w:val="0"/>
      <w:marBottom w:val="0"/>
      <w:divBdr>
        <w:top w:val="none" w:sz="0" w:space="0" w:color="auto"/>
        <w:left w:val="none" w:sz="0" w:space="0" w:color="auto"/>
        <w:bottom w:val="none" w:sz="0" w:space="0" w:color="auto"/>
        <w:right w:val="none" w:sz="0" w:space="0" w:color="auto"/>
      </w:divBdr>
    </w:div>
    <w:div w:id="884025567">
      <w:bodyDiv w:val="1"/>
      <w:marLeft w:val="0"/>
      <w:marRight w:val="0"/>
      <w:marTop w:val="0"/>
      <w:marBottom w:val="0"/>
      <w:divBdr>
        <w:top w:val="none" w:sz="0" w:space="0" w:color="auto"/>
        <w:left w:val="none" w:sz="0" w:space="0" w:color="auto"/>
        <w:bottom w:val="none" w:sz="0" w:space="0" w:color="auto"/>
        <w:right w:val="none" w:sz="0" w:space="0" w:color="auto"/>
      </w:divBdr>
    </w:div>
    <w:div w:id="893741223">
      <w:bodyDiv w:val="1"/>
      <w:marLeft w:val="0"/>
      <w:marRight w:val="0"/>
      <w:marTop w:val="0"/>
      <w:marBottom w:val="0"/>
      <w:divBdr>
        <w:top w:val="none" w:sz="0" w:space="0" w:color="auto"/>
        <w:left w:val="none" w:sz="0" w:space="0" w:color="auto"/>
        <w:bottom w:val="none" w:sz="0" w:space="0" w:color="auto"/>
        <w:right w:val="none" w:sz="0" w:space="0" w:color="auto"/>
      </w:divBdr>
    </w:div>
    <w:div w:id="900361410">
      <w:bodyDiv w:val="1"/>
      <w:marLeft w:val="0"/>
      <w:marRight w:val="0"/>
      <w:marTop w:val="0"/>
      <w:marBottom w:val="0"/>
      <w:divBdr>
        <w:top w:val="none" w:sz="0" w:space="0" w:color="auto"/>
        <w:left w:val="none" w:sz="0" w:space="0" w:color="auto"/>
        <w:bottom w:val="none" w:sz="0" w:space="0" w:color="auto"/>
        <w:right w:val="none" w:sz="0" w:space="0" w:color="auto"/>
      </w:divBdr>
    </w:div>
    <w:div w:id="900477770">
      <w:bodyDiv w:val="1"/>
      <w:marLeft w:val="0"/>
      <w:marRight w:val="0"/>
      <w:marTop w:val="0"/>
      <w:marBottom w:val="0"/>
      <w:divBdr>
        <w:top w:val="none" w:sz="0" w:space="0" w:color="auto"/>
        <w:left w:val="none" w:sz="0" w:space="0" w:color="auto"/>
        <w:bottom w:val="none" w:sz="0" w:space="0" w:color="auto"/>
        <w:right w:val="none" w:sz="0" w:space="0" w:color="auto"/>
      </w:divBdr>
    </w:div>
    <w:div w:id="901450025">
      <w:bodyDiv w:val="1"/>
      <w:marLeft w:val="0"/>
      <w:marRight w:val="0"/>
      <w:marTop w:val="0"/>
      <w:marBottom w:val="0"/>
      <w:divBdr>
        <w:top w:val="none" w:sz="0" w:space="0" w:color="auto"/>
        <w:left w:val="none" w:sz="0" w:space="0" w:color="auto"/>
        <w:bottom w:val="none" w:sz="0" w:space="0" w:color="auto"/>
        <w:right w:val="none" w:sz="0" w:space="0" w:color="auto"/>
      </w:divBdr>
    </w:div>
    <w:div w:id="904266082">
      <w:bodyDiv w:val="1"/>
      <w:marLeft w:val="0"/>
      <w:marRight w:val="0"/>
      <w:marTop w:val="0"/>
      <w:marBottom w:val="0"/>
      <w:divBdr>
        <w:top w:val="none" w:sz="0" w:space="0" w:color="auto"/>
        <w:left w:val="none" w:sz="0" w:space="0" w:color="auto"/>
        <w:bottom w:val="none" w:sz="0" w:space="0" w:color="auto"/>
        <w:right w:val="none" w:sz="0" w:space="0" w:color="auto"/>
      </w:divBdr>
    </w:div>
    <w:div w:id="908997013">
      <w:bodyDiv w:val="1"/>
      <w:marLeft w:val="0"/>
      <w:marRight w:val="0"/>
      <w:marTop w:val="0"/>
      <w:marBottom w:val="0"/>
      <w:divBdr>
        <w:top w:val="none" w:sz="0" w:space="0" w:color="auto"/>
        <w:left w:val="none" w:sz="0" w:space="0" w:color="auto"/>
        <w:bottom w:val="none" w:sz="0" w:space="0" w:color="auto"/>
        <w:right w:val="none" w:sz="0" w:space="0" w:color="auto"/>
      </w:divBdr>
    </w:div>
    <w:div w:id="926619639">
      <w:bodyDiv w:val="1"/>
      <w:marLeft w:val="0"/>
      <w:marRight w:val="0"/>
      <w:marTop w:val="0"/>
      <w:marBottom w:val="0"/>
      <w:divBdr>
        <w:top w:val="none" w:sz="0" w:space="0" w:color="auto"/>
        <w:left w:val="none" w:sz="0" w:space="0" w:color="auto"/>
        <w:bottom w:val="none" w:sz="0" w:space="0" w:color="auto"/>
        <w:right w:val="none" w:sz="0" w:space="0" w:color="auto"/>
      </w:divBdr>
    </w:div>
    <w:div w:id="947927795">
      <w:bodyDiv w:val="1"/>
      <w:marLeft w:val="0"/>
      <w:marRight w:val="0"/>
      <w:marTop w:val="0"/>
      <w:marBottom w:val="0"/>
      <w:divBdr>
        <w:top w:val="none" w:sz="0" w:space="0" w:color="auto"/>
        <w:left w:val="none" w:sz="0" w:space="0" w:color="auto"/>
        <w:bottom w:val="none" w:sz="0" w:space="0" w:color="auto"/>
        <w:right w:val="none" w:sz="0" w:space="0" w:color="auto"/>
      </w:divBdr>
    </w:div>
    <w:div w:id="951546705">
      <w:bodyDiv w:val="1"/>
      <w:marLeft w:val="0"/>
      <w:marRight w:val="0"/>
      <w:marTop w:val="0"/>
      <w:marBottom w:val="0"/>
      <w:divBdr>
        <w:top w:val="none" w:sz="0" w:space="0" w:color="auto"/>
        <w:left w:val="none" w:sz="0" w:space="0" w:color="auto"/>
        <w:bottom w:val="none" w:sz="0" w:space="0" w:color="auto"/>
        <w:right w:val="none" w:sz="0" w:space="0" w:color="auto"/>
      </w:divBdr>
    </w:div>
    <w:div w:id="958342825">
      <w:bodyDiv w:val="1"/>
      <w:marLeft w:val="0"/>
      <w:marRight w:val="0"/>
      <w:marTop w:val="0"/>
      <w:marBottom w:val="0"/>
      <w:divBdr>
        <w:top w:val="none" w:sz="0" w:space="0" w:color="auto"/>
        <w:left w:val="none" w:sz="0" w:space="0" w:color="auto"/>
        <w:bottom w:val="none" w:sz="0" w:space="0" w:color="auto"/>
        <w:right w:val="none" w:sz="0" w:space="0" w:color="auto"/>
      </w:divBdr>
    </w:div>
    <w:div w:id="960109356">
      <w:bodyDiv w:val="1"/>
      <w:marLeft w:val="0"/>
      <w:marRight w:val="0"/>
      <w:marTop w:val="0"/>
      <w:marBottom w:val="0"/>
      <w:divBdr>
        <w:top w:val="none" w:sz="0" w:space="0" w:color="auto"/>
        <w:left w:val="none" w:sz="0" w:space="0" w:color="auto"/>
        <w:bottom w:val="none" w:sz="0" w:space="0" w:color="auto"/>
        <w:right w:val="none" w:sz="0" w:space="0" w:color="auto"/>
      </w:divBdr>
    </w:div>
    <w:div w:id="979269880">
      <w:bodyDiv w:val="1"/>
      <w:marLeft w:val="0"/>
      <w:marRight w:val="0"/>
      <w:marTop w:val="0"/>
      <w:marBottom w:val="0"/>
      <w:divBdr>
        <w:top w:val="none" w:sz="0" w:space="0" w:color="auto"/>
        <w:left w:val="none" w:sz="0" w:space="0" w:color="auto"/>
        <w:bottom w:val="none" w:sz="0" w:space="0" w:color="auto"/>
        <w:right w:val="none" w:sz="0" w:space="0" w:color="auto"/>
      </w:divBdr>
    </w:div>
    <w:div w:id="980960744">
      <w:bodyDiv w:val="1"/>
      <w:marLeft w:val="0"/>
      <w:marRight w:val="0"/>
      <w:marTop w:val="0"/>
      <w:marBottom w:val="0"/>
      <w:divBdr>
        <w:top w:val="none" w:sz="0" w:space="0" w:color="auto"/>
        <w:left w:val="none" w:sz="0" w:space="0" w:color="auto"/>
        <w:bottom w:val="none" w:sz="0" w:space="0" w:color="auto"/>
        <w:right w:val="none" w:sz="0" w:space="0" w:color="auto"/>
      </w:divBdr>
    </w:div>
    <w:div w:id="1006206842">
      <w:bodyDiv w:val="1"/>
      <w:marLeft w:val="0"/>
      <w:marRight w:val="0"/>
      <w:marTop w:val="0"/>
      <w:marBottom w:val="0"/>
      <w:divBdr>
        <w:top w:val="none" w:sz="0" w:space="0" w:color="auto"/>
        <w:left w:val="none" w:sz="0" w:space="0" w:color="auto"/>
        <w:bottom w:val="none" w:sz="0" w:space="0" w:color="auto"/>
        <w:right w:val="none" w:sz="0" w:space="0" w:color="auto"/>
      </w:divBdr>
    </w:div>
    <w:div w:id="1036156808">
      <w:bodyDiv w:val="1"/>
      <w:marLeft w:val="0"/>
      <w:marRight w:val="0"/>
      <w:marTop w:val="0"/>
      <w:marBottom w:val="0"/>
      <w:divBdr>
        <w:top w:val="none" w:sz="0" w:space="0" w:color="auto"/>
        <w:left w:val="none" w:sz="0" w:space="0" w:color="auto"/>
        <w:bottom w:val="none" w:sz="0" w:space="0" w:color="auto"/>
        <w:right w:val="none" w:sz="0" w:space="0" w:color="auto"/>
      </w:divBdr>
    </w:div>
    <w:div w:id="1045179654">
      <w:bodyDiv w:val="1"/>
      <w:marLeft w:val="0"/>
      <w:marRight w:val="0"/>
      <w:marTop w:val="0"/>
      <w:marBottom w:val="0"/>
      <w:divBdr>
        <w:top w:val="none" w:sz="0" w:space="0" w:color="auto"/>
        <w:left w:val="none" w:sz="0" w:space="0" w:color="auto"/>
        <w:bottom w:val="none" w:sz="0" w:space="0" w:color="auto"/>
        <w:right w:val="none" w:sz="0" w:space="0" w:color="auto"/>
      </w:divBdr>
    </w:div>
    <w:div w:id="1071192315">
      <w:bodyDiv w:val="1"/>
      <w:marLeft w:val="0"/>
      <w:marRight w:val="0"/>
      <w:marTop w:val="0"/>
      <w:marBottom w:val="0"/>
      <w:divBdr>
        <w:top w:val="none" w:sz="0" w:space="0" w:color="auto"/>
        <w:left w:val="none" w:sz="0" w:space="0" w:color="auto"/>
        <w:bottom w:val="none" w:sz="0" w:space="0" w:color="auto"/>
        <w:right w:val="none" w:sz="0" w:space="0" w:color="auto"/>
      </w:divBdr>
    </w:div>
    <w:div w:id="1101413405">
      <w:bodyDiv w:val="1"/>
      <w:marLeft w:val="0"/>
      <w:marRight w:val="0"/>
      <w:marTop w:val="0"/>
      <w:marBottom w:val="0"/>
      <w:divBdr>
        <w:top w:val="none" w:sz="0" w:space="0" w:color="auto"/>
        <w:left w:val="none" w:sz="0" w:space="0" w:color="auto"/>
        <w:bottom w:val="none" w:sz="0" w:space="0" w:color="auto"/>
        <w:right w:val="none" w:sz="0" w:space="0" w:color="auto"/>
      </w:divBdr>
    </w:div>
    <w:div w:id="1125319281">
      <w:bodyDiv w:val="1"/>
      <w:marLeft w:val="0"/>
      <w:marRight w:val="0"/>
      <w:marTop w:val="0"/>
      <w:marBottom w:val="0"/>
      <w:divBdr>
        <w:top w:val="none" w:sz="0" w:space="0" w:color="auto"/>
        <w:left w:val="none" w:sz="0" w:space="0" w:color="auto"/>
        <w:bottom w:val="none" w:sz="0" w:space="0" w:color="auto"/>
        <w:right w:val="none" w:sz="0" w:space="0" w:color="auto"/>
      </w:divBdr>
    </w:div>
    <w:div w:id="1173448577">
      <w:bodyDiv w:val="1"/>
      <w:marLeft w:val="0"/>
      <w:marRight w:val="0"/>
      <w:marTop w:val="0"/>
      <w:marBottom w:val="0"/>
      <w:divBdr>
        <w:top w:val="none" w:sz="0" w:space="0" w:color="auto"/>
        <w:left w:val="none" w:sz="0" w:space="0" w:color="auto"/>
        <w:bottom w:val="none" w:sz="0" w:space="0" w:color="auto"/>
        <w:right w:val="none" w:sz="0" w:space="0" w:color="auto"/>
      </w:divBdr>
    </w:div>
    <w:div w:id="1246375487">
      <w:bodyDiv w:val="1"/>
      <w:marLeft w:val="0"/>
      <w:marRight w:val="0"/>
      <w:marTop w:val="0"/>
      <w:marBottom w:val="0"/>
      <w:divBdr>
        <w:top w:val="none" w:sz="0" w:space="0" w:color="auto"/>
        <w:left w:val="none" w:sz="0" w:space="0" w:color="auto"/>
        <w:bottom w:val="none" w:sz="0" w:space="0" w:color="auto"/>
        <w:right w:val="none" w:sz="0" w:space="0" w:color="auto"/>
      </w:divBdr>
    </w:div>
    <w:div w:id="1260527164">
      <w:bodyDiv w:val="1"/>
      <w:marLeft w:val="0"/>
      <w:marRight w:val="0"/>
      <w:marTop w:val="0"/>
      <w:marBottom w:val="0"/>
      <w:divBdr>
        <w:top w:val="none" w:sz="0" w:space="0" w:color="auto"/>
        <w:left w:val="none" w:sz="0" w:space="0" w:color="auto"/>
        <w:bottom w:val="none" w:sz="0" w:space="0" w:color="auto"/>
        <w:right w:val="none" w:sz="0" w:space="0" w:color="auto"/>
      </w:divBdr>
    </w:div>
    <w:div w:id="1267885356">
      <w:bodyDiv w:val="1"/>
      <w:marLeft w:val="0"/>
      <w:marRight w:val="0"/>
      <w:marTop w:val="0"/>
      <w:marBottom w:val="0"/>
      <w:divBdr>
        <w:top w:val="none" w:sz="0" w:space="0" w:color="auto"/>
        <w:left w:val="none" w:sz="0" w:space="0" w:color="auto"/>
        <w:bottom w:val="none" w:sz="0" w:space="0" w:color="auto"/>
        <w:right w:val="none" w:sz="0" w:space="0" w:color="auto"/>
      </w:divBdr>
    </w:div>
    <w:div w:id="1279486653">
      <w:bodyDiv w:val="1"/>
      <w:marLeft w:val="0"/>
      <w:marRight w:val="0"/>
      <w:marTop w:val="0"/>
      <w:marBottom w:val="0"/>
      <w:divBdr>
        <w:top w:val="none" w:sz="0" w:space="0" w:color="auto"/>
        <w:left w:val="none" w:sz="0" w:space="0" w:color="auto"/>
        <w:bottom w:val="none" w:sz="0" w:space="0" w:color="auto"/>
        <w:right w:val="none" w:sz="0" w:space="0" w:color="auto"/>
      </w:divBdr>
    </w:div>
    <w:div w:id="1282877619">
      <w:bodyDiv w:val="1"/>
      <w:marLeft w:val="0"/>
      <w:marRight w:val="0"/>
      <w:marTop w:val="0"/>
      <w:marBottom w:val="0"/>
      <w:divBdr>
        <w:top w:val="none" w:sz="0" w:space="0" w:color="auto"/>
        <w:left w:val="none" w:sz="0" w:space="0" w:color="auto"/>
        <w:bottom w:val="none" w:sz="0" w:space="0" w:color="auto"/>
        <w:right w:val="none" w:sz="0" w:space="0" w:color="auto"/>
      </w:divBdr>
    </w:div>
    <w:div w:id="1287421508">
      <w:bodyDiv w:val="1"/>
      <w:marLeft w:val="0"/>
      <w:marRight w:val="0"/>
      <w:marTop w:val="0"/>
      <w:marBottom w:val="0"/>
      <w:divBdr>
        <w:top w:val="none" w:sz="0" w:space="0" w:color="auto"/>
        <w:left w:val="none" w:sz="0" w:space="0" w:color="auto"/>
        <w:bottom w:val="none" w:sz="0" w:space="0" w:color="auto"/>
        <w:right w:val="none" w:sz="0" w:space="0" w:color="auto"/>
      </w:divBdr>
    </w:div>
    <w:div w:id="1287665165">
      <w:bodyDiv w:val="1"/>
      <w:marLeft w:val="0"/>
      <w:marRight w:val="0"/>
      <w:marTop w:val="0"/>
      <w:marBottom w:val="0"/>
      <w:divBdr>
        <w:top w:val="none" w:sz="0" w:space="0" w:color="auto"/>
        <w:left w:val="none" w:sz="0" w:space="0" w:color="auto"/>
        <w:bottom w:val="none" w:sz="0" w:space="0" w:color="auto"/>
        <w:right w:val="none" w:sz="0" w:space="0" w:color="auto"/>
      </w:divBdr>
    </w:div>
    <w:div w:id="1288313971">
      <w:bodyDiv w:val="1"/>
      <w:marLeft w:val="0"/>
      <w:marRight w:val="0"/>
      <w:marTop w:val="0"/>
      <w:marBottom w:val="0"/>
      <w:divBdr>
        <w:top w:val="none" w:sz="0" w:space="0" w:color="auto"/>
        <w:left w:val="none" w:sz="0" w:space="0" w:color="auto"/>
        <w:bottom w:val="none" w:sz="0" w:space="0" w:color="auto"/>
        <w:right w:val="none" w:sz="0" w:space="0" w:color="auto"/>
      </w:divBdr>
    </w:div>
    <w:div w:id="1305743501">
      <w:bodyDiv w:val="1"/>
      <w:marLeft w:val="0"/>
      <w:marRight w:val="0"/>
      <w:marTop w:val="0"/>
      <w:marBottom w:val="0"/>
      <w:divBdr>
        <w:top w:val="none" w:sz="0" w:space="0" w:color="auto"/>
        <w:left w:val="none" w:sz="0" w:space="0" w:color="auto"/>
        <w:bottom w:val="none" w:sz="0" w:space="0" w:color="auto"/>
        <w:right w:val="none" w:sz="0" w:space="0" w:color="auto"/>
      </w:divBdr>
    </w:div>
    <w:div w:id="1356224964">
      <w:bodyDiv w:val="1"/>
      <w:marLeft w:val="0"/>
      <w:marRight w:val="0"/>
      <w:marTop w:val="0"/>
      <w:marBottom w:val="0"/>
      <w:divBdr>
        <w:top w:val="none" w:sz="0" w:space="0" w:color="auto"/>
        <w:left w:val="none" w:sz="0" w:space="0" w:color="auto"/>
        <w:bottom w:val="none" w:sz="0" w:space="0" w:color="auto"/>
        <w:right w:val="none" w:sz="0" w:space="0" w:color="auto"/>
      </w:divBdr>
    </w:div>
    <w:div w:id="1365012358">
      <w:bodyDiv w:val="1"/>
      <w:marLeft w:val="0"/>
      <w:marRight w:val="0"/>
      <w:marTop w:val="0"/>
      <w:marBottom w:val="0"/>
      <w:divBdr>
        <w:top w:val="none" w:sz="0" w:space="0" w:color="auto"/>
        <w:left w:val="none" w:sz="0" w:space="0" w:color="auto"/>
        <w:bottom w:val="none" w:sz="0" w:space="0" w:color="auto"/>
        <w:right w:val="none" w:sz="0" w:space="0" w:color="auto"/>
      </w:divBdr>
    </w:div>
    <w:div w:id="1379546386">
      <w:bodyDiv w:val="1"/>
      <w:marLeft w:val="0"/>
      <w:marRight w:val="0"/>
      <w:marTop w:val="0"/>
      <w:marBottom w:val="0"/>
      <w:divBdr>
        <w:top w:val="none" w:sz="0" w:space="0" w:color="auto"/>
        <w:left w:val="none" w:sz="0" w:space="0" w:color="auto"/>
        <w:bottom w:val="none" w:sz="0" w:space="0" w:color="auto"/>
        <w:right w:val="none" w:sz="0" w:space="0" w:color="auto"/>
      </w:divBdr>
    </w:div>
    <w:div w:id="1388528409">
      <w:bodyDiv w:val="1"/>
      <w:marLeft w:val="0"/>
      <w:marRight w:val="0"/>
      <w:marTop w:val="0"/>
      <w:marBottom w:val="0"/>
      <w:divBdr>
        <w:top w:val="none" w:sz="0" w:space="0" w:color="auto"/>
        <w:left w:val="none" w:sz="0" w:space="0" w:color="auto"/>
        <w:bottom w:val="none" w:sz="0" w:space="0" w:color="auto"/>
        <w:right w:val="none" w:sz="0" w:space="0" w:color="auto"/>
      </w:divBdr>
    </w:div>
    <w:div w:id="1390228828">
      <w:bodyDiv w:val="1"/>
      <w:marLeft w:val="0"/>
      <w:marRight w:val="0"/>
      <w:marTop w:val="0"/>
      <w:marBottom w:val="0"/>
      <w:divBdr>
        <w:top w:val="none" w:sz="0" w:space="0" w:color="auto"/>
        <w:left w:val="none" w:sz="0" w:space="0" w:color="auto"/>
        <w:bottom w:val="none" w:sz="0" w:space="0" w:color="auto"/>
        <w:right w:val="none" w:sz="0" w:space="0" w:color="auto"/>
      </w:divBdr>
    </w:div>
    <w:div w:id="1407335761">
      <w:bodyDiv w:val="1"/>
      <w:marLeft w:val="0"/>
      <w:marRight w:val="0"/>
      <w:marTop w:val="0"/>
      <w:marBottom w:val="0"/>
      <w:divBdr>
        <w:top w:val="none" w:sz="0" w:space="0" w:color="auto"/>
        <w:left w:val="none" w:sz="0" w:space="0" w:color="auto"/>
        <w:bottom w:val="none" w:sz="0" w:space="0" w:color="auto"/>
        <w:right w:val="none" w:sz="0" w:space="0" w:color="auto"/>
      </w:divBdr>
    </w:div>
    <w:div w:id="1425489376">
      <w:bodyDiv w:val="1"/>
      <w:marLeft w:val="0"/>
      <w:marRight w:val="0"/>
      <w:marTop w:val="0"/>
      <w:marBottom w:val="0"/>
      <w:divBdr>
        <w:top w:val="none" w:sz="0" w:space="0" w:color="auto"/>
        <w:left w:val="none" w:sz="0" w:space="0" w:color="auto"/>
        <w:bottom w:val="none" w:sz="0" w:space="0" w:color="auto"/>
        <w:right w:val="none" w:sz="0" w:space="0" w:color="auto"/>
      </w:divBdr>
    </w:div>
    <w:div w:id="1441683430">
      <w:bodyDiv w:val="1"/>
      <w:marLeft w:val="0"/>
      <w:marRight w:val="0"/>
      <w:marTop w:val="0"/>
      <w:marBottom w:val="0"/>
      <w:divBdr>
        <w:top w:val="none" w:sz="0" w:space="0" w:color="auto"/>
        <w:left w:val="none" w:sz="0" w:space="0" w:color="auto"/>
        <w:bottom w:val="none" w:sz="0" w:space="0" w:color="auto"/>
        <w:right w:val="none" w:sz="0" w:space="0" w:color="auto"/>
      </w:divBdr>
    </w:div>
    <w:div w:id="1444807744">
      <w:bodyDiv w:val="1"/>
      <w:marLeft w:val="0"/>
      <w:marRight w:val="0"/>
      <w:marTop w:val="0"/>
      <w:marBottom w:val="0"/>
      <w:divBdr>
        <w:top w:val="none" w:sz="0" w:space="0" w:color="auto"/>
        <w:left w:val="none" w:sz="0" w:space="0" w:color="auto"/>
        <w:bottom w:val="none" w:sz="0" w:space="0" w:color="auto"/>
        <w:right w:val="none" w:sz="0" w:space="0" w:color="auto"/>
      </w:divBdr>
    </w:div>
    <w:div w:id="1467044607">
      <w:bodyDiv w:val="1"/>
      <w:marLeft w:val="0"/>
      <w:marRight w:val="0"/>
      <w:marTop w:val="0"/>
      <w:marBottom w:val="0"/>
      <w:divBdr>
        <w:top w:val="none" w:sz="0" w:space="0" w:color="auto"/>
        <w:left w:val="none" w:sz="0" w:space="0" w:color="auto"/>
        <w:bottom w:val="none" w:sz="0" w:space="0" w:color="auto"/>
        <w:right w:val="none" w:sz="0" w:space="0" w:color="auto"/>
      </w:divBdr>
    </w:div>
    <w:div w:id="1479030690">
      <w:bodyDiv w:val="1"/>
      <w:marLeft w:val="0"/>
      <w:marRight w:val="0"/>
      <w:marTop w:val="0"/>
      <w:marBottom w:val="0"/>
      <w:divBdr>
        <w:top w:val="none" w:sz="0" w:space="0" w:color="auto"/>
        <w:left w:val="none" w:sz="0" w:space="0" w:color="auto"/>
        <w:bottom w:val="none" w:sz="0" w:space="0" w:color="auto"/>
        <w:right w:val="none" w:sz="0" w:space="0" w:color="auto"/>
      </w:divBdr>
    </w:div>
    <w:div w:id="1480809373">
      <w:bodyDiv w:val="1"/>
      <w:marLeft w:val="0"/>
      <w:marRight w:val="0"/>
      <w:marTop w:val="0"/>
      <w:marBottom w:val="0"/>
      <w:divBdr>
        <w:top w:val="none" w:sz="0" w:space="0" w:color="auto"/>
        <w:left w:val="none" w:sz="0" w:space="0" w:color="auto"/>
        <w:bottom w:val="none" w:sz="0" w:space="0" w:color="auto"/>
        <w:right w:val="none" w:sz="0" w:space="0" w:color="auto"/>
      </w:divBdr>
    </w:div>
    <w:div w:id="1495105529">
      <w:bodyDiv w:val="1"/>
      <w:marLeft w:val="0"/>
      <w:marRight w:val="0"/>
      <w:marTop w:val="0"/>
      <w:marBottom w:val="0"/>
      <w:divBdr>
        <w:top w:val="none" w:sz="0" w:space="0" w:color="auto"/>
        <w:left w:val="none" w:sz="0" w:space="0" w:color="auto"/>
        <w:bottom w:val="none" w:sz="0" w:space="0" w:color="auto"/>
        <w:right w:val="none" w:sz="0" w:space="0" w:color="auto"/>
      </w:divBdr>
    </w:div>
    <w:div w:id="1520848375">
      <w:bodyDiv w:val="1"/>
      <w:marLeft w:val="0"/>
      <w:marRight w:val="0"/>
      <w:marTop w:val="0"/>
      <w:marBottom w:val="0"/>
      <w:divBdr>
        <w:top w:val="none" w:sz="0" w:space="0" w:color="auto"/>
        <w:left w:val="none" w:sz="0" w:space="0" w:color="auto"/>
        <w:bottom w:val="none" w:sz="0" w:space="0" w:color="auto"/>
        <w:right w:val="none" w:sz="0" w:space="0" w:color="auto"/>
      </w:divBdr>
    </w:div>
    <w:div w:id="1531721304">
      <w:bodyDiv w:val="1"/>
      <w:marLeft w:val="0"/>
      <w:marRight w:val="0"/>
      <w:marTop w:val="0"/>
      <w:marBottom w:val="0"/>
      <w:divBdr>
        <w:top w:val="none" w:sz="0" w:space="0" w:color="auto"/>
        <w:left w:val="none" w:sz="0" w:space="0" w:color="auto"/>
        <w:bottom w:val="none" w:sz="0" w:space="0" w:color="auto"/>
        <w:right w:val="none" w:sz="0" w:space="0" w:color="auto"/>
      </w:divBdr>
    </w:div>
    <w:div w:id="1589266334">
      <w:bodyDiv w:val="1"/>
      <w:marLeft w:val="0"/>
      <w:marRight w:val="0"/>
      <w:marTop w:val="0"/>
      <w:marBottom w:val="0"/>
      <w:divBdr>
        <w:top w:val="none" w:sz="0" w:space="0" w:color="auto"/>
        <w:left w:val="none" w:sz="0" w:space="0" w:color="auto"/>
        <w:bottom w:val="none" w:sz="0" w:space="0" w:color="auto"/>
        <w:right w:val="none" w:sz="0" w:space="0" w:color="auto"/>
      </w:divBdr>
    </w:div>
    <w:div w:id="1624578990">
      <w:bodyDiv w:val="1"/>
      <w:marLeft w:val="0"/>
      <w:marRight w:val="0"/>
      <w:marTop w:val="0"/>
      <w:marBottom w:val="0"/>
      <w:divBdr>
        <w:top w:val="none" w:sz="0" w:space="0" w:color="auto"/>
        <w:left w:val="none" w:sz="0" w:space="0" w:color="auto"/>
        <w:bottom w:val="none" w:sz="0" w:space="0" w:color="auto"/>
        <w:right w:val="none" w:sz="0" w:space="0" w:color="auto"/>
      </w:divBdr>
    </w:div>
    <w:div w:id="1631547031">
      <w:bodyDiv w:val="1"/>
      <w:marLeft w:val="0"/>
      <w:marRight w:val="0"/>
      <w:marTop w:val="0"/>
      <w:marBottom w:val="0"/>
      <w:divBdr>
        <w:top w:val="none" w:sz="0" w:space="0" w:color="auto"/>
        <w:left w:val="none" w:sz="0" w:space="0" w:color="auto"/>
        <w:bottom w:val="none" w:sz="0" w:space="0" w:color="auto"/>
        <w:right w:val="none" w:sz="0" w:space="0" w:color="auto"/>
      </w:divBdr>
    </w:div>
    <w:div w:id="1635405150">
      <w:bodyDiv w:val="1"/>
      <w:marLeft w:val="0"/>
      <w:marRight w:val="0"/>
      <w:marTop w:val="0"/>
      <w:marBottom w:val="0"/>
      <w:divBdr>
        <w:top w:val="none" w:sz="0" w:space="0" w:color="auto"/>
        <w:left w:val="none" w:sz="0" w:space="0" w:color="auto"/>
        <w:bottom w:val="none" w:sz="0" w:space="0" w:color="auto"/>
        <w:right w:val="none" w:sz="0" w:space="0" w:color="auto"/>
      </w:divBdr>
    </w:div>
    <w:div w:id="1643343980">
      <w:bodyDiv w:val="1"/>
      <w:marLeft w:val="0"/>
      <w:marRight w:val="0"/>
      <w:marTop w:val="0"/>
      <w:marBottom w:val="0"/>
      <w:divBdr>
        <w:top w:val="none" w:sz="0" w:space="0" w:color="auto"/>
        <w:left w:val="none" w:sz="0" w:space="0" w:color="auto"/>
        <w:bottom w:val="none" w:sz="0" w:space="0" w:color="auto"/>
        <w:right w:val="none" w:sz="0" w:space="0" w:color="auto"/>
      </w:divBdr>
    </w:div>
    <w:div w:id="1648047051">
      <w:bodyDiv w:val="1"/>
      <w:marLeft w:val="0"/>
      <w:marRight w:val="0"/>
      <w:marTop w:val="0"/>
      <w:marBottom w:val="0"/>
      <w:divBdr>
        <w:top w:val="none" w:sz="0" w:space="0" w:color="auto"/>
        <w:left w:val="none" w:sz="0" w:space="0" w:color="auto"/>
        <w:bottom w:val="none" w:sz="0" w:space="0" w:color="auto"/>
        <w:right w:val="none" w:sz="0" w:space="0" w:color="auto"/>
      </w:divBdr>
    </w:div>
    <w:div w:id="1658725082">
      <w:bodyDiv w:val="1"/>
      <w:marLeft w:val="0"/>
      <w:marRight w:val="0"/>
      <w:marTop w:val="0"/>
      <w:marBottom w:val="0"/>
      <w:divBdr>
        <w:top w:val="none" w:sz="0" w:space="0" w:color="auto"/>
        <w:left w:val="none" w:sz="0" w:space="0" w:color="auto"/>
        <w:bottom w:val="none" w:sz="0" w:space="0" w:color="auto"/>
        <w:right w:val="none" w:sz="0" w:space="0" w:color="auto"/>
      </w:divBdr>
    </w:div>
    <w:div w:id="1660841476">
      <w:bodyDiv w:val="1"/>
      <w:marLeft w:val="0"/>
      <w:marRight w:val="0"/>
      <w:marTop w:val="0"/>
      <w:marBottom w:val="0"/>
      <w:divBdr>
        <w:top w:val="none" w:sz="0" w:space="0" w:color="auto"/>
        <w:left w:val="none" w:sz="0" w:space="0" w:color="auto"/>
        <w:bottom w:val="none" w:sz="0" w:space="0" w:color="auto"/>
        <w:right w:val="none" w:sz="0" w:space="0" w:color="auto"/>
      </w:divBdr>
    </w:div>
    <w:div w:id="1678733673">
      <w:bodyDiv w:val="1"/>
      <w:marLeft w:val="0"/>
      <w:marRight w:val="0"/>
      <w:marTop w:val="0"/>
      <w:marBottom w:val="0"/>
      <w:divBdr>
        <w:top w:val="none" w:sz="0" w:space="0" w:color="auto"/>
        <w:left w:val="none" w:sz="0" w:space="0" w:color="auto"/>
        <w:bottom w:val="none" w:sz="0" w:space="0" w:color="auto"/>
        <w:right w:val="none" w:sz="0" w:space="0" w:color="auto"/>
      </w:divBdr>
    </w:div>
    <w:div w:id="1694259624">
      <w:bodyDiv w:val="1"/>
      <w:marLeft w:val="0"/>
      <w:marRight w:val="0"/>
      <w:marTop w:val="0"/>
      <w:marBottom w:val="0"/>
      <w:divBdr>
        <w:top w:val="none" w:sz="0" w:space="0" w:color="auto"/>
        <w:left w:val="none" w:sz="0" w:space="0" w:color="auto"/>
        <w:bottom w:val="none" w:sz="0" w:space="0" w:color="auto"/>
        <w:right w:val="none" w:sz="0" w:space="0" w:color="auto"/>
      </w:divBdr>
    </w:div>
    <w:div w:id="1698576462">
      <w:bodyDiv w:val="1"/>
      <w:marLeft w:val="0"/>
      <w:marRight w:val="0"/>
      <w:marTop w:val="0"/>
      <w:marBottom w:val="0"/>
      <w:divBdr>
        <w:top w:val="none" w:sz="0" w:space="0" w:color="auto"/>
        <w:left w:val="none" w:sz="0" w:space="0" w:color="auto"/>
        <w:bottom w:val="none" w:sz="0" w:space="0" w:color="auto"/>
        <w:right w:val="none" w:sz="0" w:space="0" w:color="auto"/>
      </w:divBdr>
    </w:div>
    <w:div w:id="1708483172">
      <w:bodyDiv w:val="1"/>
      <w:marLeft w:val="0"/>
      <w:marRight w:val="0"/>
      <w:marTop w:val="0"/>
      <w:marBottom w:val="0"/>
      <w:divBdr>
        <w:top w:val="none" w:sz="0" w:space="0" w:color="auto"/>
        <w:left w:val="none" w:sz="0" w:space="0" w:color="auto"/>
        <w:bottom w:val="none" w:sz="0" w:space="0" w:color="auto"/>
        <w:right w:val="none" w:sz="0" w:space="0" w:color="auto"/>
      </w:divBdr>
    </w:div>
    <w:div w:id="1711685988">
      <w:bodyDiv w:val="1"/>
      <w:marLeft w:val="0"/>
      <w:marRight w:val="0"/>
      <w:marTop w:val="0"/>
      <w:marBottom w:val="0"/>
      <w:divBdr>
        <w:top w:val="none" w:sz="0" w:space="0" w:color="auto"/>
        <w:left w:val="none" w:sz="0" w:space="0" w:color="auto"/>
        <w:bottom w:val="none" w:sz="0" w:space="0" w:color="auto"/>
        <w:right w:val="none" w:sz="0" w:space="0" w:color="auto"/>
      </w:divBdr>
    </w:div>
    <w:div w:id="1726106016">
      <w:bodyDiv w:val="1"/>
      <w:marLeft w:val="0"/>
      <w:marRight w:val="0"/>
      <w:marTop w:val="0"/>
      <w:marBottom w:val="0"/>
      <w:divBdr>
        <w:top w:val="none" w:sz="0" w:space="0" w:color="auto"/>
        <w:left w:val="none" w:sz="0" w:space="0" w:color="auto"/>
        <w:bottom w:val="none" w:sz="0" w:space="0" w:color="auto"/>
        <w:right w:val="none" w:sz="0" w:space="0" w:color="auto"/>
      </w:divBdr>
    </w:div>
    <w:div w:id="1738241097">
      <w:bodyDiv w:val="1"/>
      <w:marLeft w:val="0"/>
      <w:marRight w:val="0"/>
      <w:marTop w:val="0"/>
      <w:marBottom w:val="0"/>
      <w:divBdr>
        <w:top w:val="none" w:sz="0" w:space="0" w:color="auto"/>
        <w:left w:val="none" w:sz="0" w:space="0" w:color="auto"/>
        <w:bottom w:val="none" w:sz="0" w:space="0" w:color="auto"/>
        <w:right w:val="none" w:sz="0" w:space="0" w:color="auto"/>
      </w:divBdr>
    </w:div>
    <w:div w:id="1755203258">
      <w:bodyDiv w:val="1"/>
      <w:marLeft w:val="0"/>
      <w:marRight w:val="0"/>
      <w:marTop w:val="0"/>
      <w:marBottom w:val="0"/>
      <w:divBdr>
        <w:top w:val="none" w:sz="0" w:space="0" w:color="auto"/>
        <w:left w:val="none" w:sz="0" w:space="0" w:color="auto"/>
        <w:bottom w:val="none" w:sz="0" w:space="0" w:color="auto"/>
        <w:right w:val="none" w:sz="0" w:space="0" w:color="auto"/>
      </w:divBdr>
    </w:div>
    <w:div w:id="1755277904">
      <w:bodyDiv w:val="1"/>
      <w:marLeft w:val="0"/>
      <w:marRight w:val="0"/>
      <w:marTop w:val="0"/>
      <w:marBottom w:val="0"/>
      <w:divBdr>
        <w:top w:val="none" w:sz="0" w:space="0" w:color="auto"/>
        <w:left w:val="none" w:sz="0" w:space="0" w:color="auto"/>
        <w:bottom w:val="none" w:sz="0" w:space="0" w:color="auto"/>
        <w:right w:val="none" w:sz="0" w:space="0" w:color="auto"/>
      </w:divBdr>
    </w:div>
    <w:div w:id="1774352142">
      <w:bodyDiv w:val="1"/>
      <w:marLeft w:val="0"/>
      <w:marRight w:val="0"/>
      <w:marTop w:val="0"/>
      <w:marBottom w:val="0"/>
      <w:divBdr>
        <w:top w:val="none" w:sz="0" w:space="0" w:color="auto"/>
        <w:left w:val="none" w:sz="0" w:space="0" w:color="auto"/>
        <w:bottom w:val="none" w:sz="0" w:space="0" w:color="auto"/>
        <w:right w:val="none" w:sz="0" w:space="0" w:color="auto"/>
      </w:divBdr>
    </w:div>
    <w:div w:id="1801268068">
      <w:bodyDiv w:val="1"/>
      <w:marLeft w:val="0"/>
      <w:marRight w:val="0"/>
      <w:marTop w:val="0"/>
      <w:marBottom w:val="0"/>
      <w:divBdr>
        <w:top w:val="none" w:sz="0" w:space="0" w:color="auto"/>
        <w:left w:val="none" w:sz="0" w:space="0" w:color="auto"/>
        <w:bottom w:val="none" w:sz="0" w:space="0" w:color="auto"/>
        <w:right w:val="none" w:sz="0" w:space="0" w:color="auto"/>
      </w:divBdr>
    </w:div>
    <w:div w:id="1829902477">
      <w:bodyDiv w:val="1"/>
      <w:marLeft w:val="0"/>
      <w:marRight w:val="0"/>
      <w:marTop w:val="0"/>
      <w:marBottom w:val="0"/>
      <w:divBdr>
        <w:top w:val="none" w:sz="0" w:space="0" w:color="auto"/>
        <w:left w:val="none" w:sz="0" w:space="0" w:color="auto"/>
        <w:bottom w:val="none" w:sz="0" w:space="0" w:color="auto"/>
        <w:right w:val="none" w:sz="0" w:space="0" w:color="auto"/>
      </w:divBdr>
    </w:div>
    <w:div w:id="1923947492">
      <w:bodyDiv w:val="1"/>
      <w:marLeft w:val="0"/>
      <w:marRight w:val="0"/>
      <w:marTop w:val="0"/>
      <w:marBottom w:val="0"/>
      <w:divBdr>
        <w:top w:val="none" w:sz="0" w:space="0" w:color="auto"/>
        <w:left w:val="none" w:sz="0" w:space="0" w:color="auto"/>
        <w:bottom w:val="none" w:sz="0" w:space="0" w:color="auto"/>
        <w:right w:val="none" w:sz="0" w:space="0" w:color="auto"/>
      </w:divBdr>
    </w:div>
    <w:div w:id="1964993798">
      <w:bodyDiv w:val="1"/>
      <w:marLeft w:val="0"/>
      <w:marRight w:val="0"/>
      <w:marTop w:val="0"/>
      <w:marBottom w:val="0"/>
      <w:divBdr>
        <w:top w:val="none" w:sz="0" w:space="0" w:color="auto"/>
        <w:left w:val="none" w:sz="0" w:space="0" w:color="auto"/>
        <w:bottom w:val="none" w:sz="0" w:space="0" w:color="auto"/>
        <w:right w:val="none" w:sz="0" w:space="0" w:color="auto"/>
      </w:divBdr>
    </w:div>
    <w:div w:id="1968462062">
      <w:bodyDiv w:val="1"/>
      <w:marLeft w:val="0"/>
      <w:marRight w:val="0"/>
      <w:marTop w:val="0"/>
      <w:marBottom w:val="0"/>
      <w:divBdr>
        <w:top w:val="none" w:sz="0" w:space="0" w:color="auto"/>
        <w:left w:val="none" w:sz="0" w:space="0" w:color="auto"/>
        <w:bottom w:val="none" w:sz="0" w:space="0" w:color="auto"/>
        <w:right w:val="none" w:sz="0" w:space="0" w:color="auto"/>
      </w:divBdr>
    </w:div>
    <w:div w:id="1971082836">
      <w:bodyDiv w:val="1"/>
      <w:marLeft w:val="0"/>
      <w:marRight w:val="0"/>
      <w:marTop w:val="0"/>
      <w:marBottom w:val="0"/>
      <w:divBdr>
        <w:top w:val="none" w:sz="0" w:space="0" w:color="auto"/>
        <w:left w:val="none" w:sz="0" w:space="0" w:color="auto"/>
        <w:bottom w:val="none" w:sz="0" w:space="0" w:color="auto"/>
        <w:right w:val="none" w:sz="0" w:space="0" w:color="auto"/>
      </w:divBdr>
    </w:div>
    <w:div w:id="1981881150">
      <w:bodyDiv w:val="1"/>
      <w:marLeft w:val="0"/>
      <w:marRight w:val="0"/>
      <w:marTop w:val="0"/>
      <w:marBottom w:val="0"/>
      <w:divBdr>
        <w:top w:val="none" w:sz="0" w:space="0" w:color="auto"/>
        <w:left w:val="none" w:sz="0" w:space="0" w:color="auto"/>
        <w:bottom w:val="none" w:sz="0" w:space="0" w:color="auto"/>
        <w:right w:val="none" w:sz="0" w:space="0" w:color="auto"/>
      </w:divBdr>
    </w:div>
    <w:div w:id="2013995830">
      <w:bodyDiv w:val="1"/>
      <w:marLeft w:val="0"/>
      <w:marRight w:val="0"/>
      <w:marTop w:val="0"/>
      <w:marBottom w:val="0"/>
      <w:divBdr>
        <w:top w:val="none" w:sz="0" w:space="0" w:color="auto"/>
        <w:left w:val="none" w:sz="0" w:space="0" w:color="auto"/>
        <w:bottom w:val="none" w:sz="0" w:space="0" w:color="auto"/>
        <w:right w:val="none" w:sz="0" w:space="0" w:color="auto"/>
      </w:divBdr>
    </w:div>
    <w:div w:id="2026515056">
      <w:bodyDiv w:val="1"/>
      <w:marLeft w:val="0"/>
      <w:marRight w:val="0"/>
      <w:marTop w:val="0"/>
      <w:marBottom w:val="0"/>
      <w:divBdr>
        <w:top w:val="none" w:sz="0" w:space="0" w:color="auto"/>
        <w:left w:val="none" w:sz="0" w:space="0" w:color="auto"/>
        <w:bottom w:val="none" w:sz="0" w:space="0" w:color="auto"/>
        <w:right w:val="none" w:sz="0" w:space="0" w:color="auto"/>
      </w:divBdr>
    </w:div>
    <w:div w:id="2028603442">
      <w:bodyDiv w:val="1"/>
      <w:marLeft w:val="0"/>
      <w:marRight w:val="0"/>
      <w:marTop w:val="0"/>
      <w:marBottom w:val="0"/>
      <w:divBdr>
        <w:top w:val="none" w:sz="0" w:space="0" w:color="auto"/>
        <w:left w:val="none" w:sz="0" w:space="0" w:color="auto"/>
        <w:bottom w:val="none" w:sz="0" w:space="0" w:color="auto"/>
        <w:right w:val="none" w:sz="0" w:space="0" w:color="auto"/>
      </w:divBdr>
    </w:div>
    <w:div w:id="2040663121">
      <w:bodyDiv w:val="1"/>
      <w:marLeft w:val="0"/>
      <w:marRight w:val="0"/>
      <w:marTop w:val="0"/>
      <w:marBottom w:val="0"/>
      <w:divBdr>
        <w:top w:val="none" w:sz="0" w:space="0" w:color="auto"/>
        <w:left w:val="none" w:sz="0" w:space="0" w:color="auto"/>
        <w:bottom w:val="none" w:sz="0" w:space="0" w:color="auto"/>
        <w:right w:val="none" w:sz="0" w:space="0" w:color="auto"/>
      </w:divBdr>
    </w:div>
    <w:div w:id="2049600225">
      <w:bodyDiv w:val="1"/>
      <w:marLeft w:val="0"/>
      <w:marRight w:val="0"/>
      <w:marTop w:val="0"/>
      <w:marBottom w:val="0"/>
      <w:divBdr>
        <w:top w:val="none" w:sz="0" w:space="0" w:color="auto"/>
        <w:left w:val="none" w:sz="0" w:space="0" w:color="auto"/>
        <w:bottom w:val="none" w:sz="0" w:space="0" w:color="auto"/>
        <w:right w:val="none" w:sz="0" w:space="0" w:color="auto"/>
      </w:divBdr>
    </w:div>
    <w:div w:id="2058778296">
      <w:bodyDiv w:val="1"/>
      <w:marLeft w:val="0"/>
      <w:marRight w:val="0"/>
      <w:marTop w:val="0"/>
      <w:marBottom w:val="0"/>
      <w:divBdr>
        <w:top w:val="none" w:sz="0" w:space="0" w:color="auto"/>
        <w:left w:val="none" w:sz="0" w:space="0" w:color="auto"/>
        <w:bottom w:val="none" w:sz="0" w:space="0" w:color="auto"/>
        <w:right w:val="none" w:sz="0" w:space="0" w:color="auto"/>
      </w:divBdr>
    </w:div>
    <w:div w:id="2062745945">
      <w:bodyDiv w:val="1"/>
      <w:marLeft w:val="0"/>
      <w:marRight w:val="0"/>
      <w:marTop w:val="0"/>
      <w:marBottom w:val="0"/>
      <w:divBdr>
        <w:top w:val="none" w:sz="0" w:space="0" w:color="auto"/>
        <w:left w:val="none" w:sz="0" w:space="0" w:color="auto"/>
        <w:bottom w:val="none" w:sz="0" w:space="0" w:color="auto"/>
        <w:right w:val="none" w:sz="0" w:space="0" w:color="auto"/>
      </w:divBdr>
    </w:div>
    <w:div w:id="2070417992">
      <w:bodyDiv w:val="1"/>
      <w:marLeft w:val="0"/>
      <w:marRight w:val="0"/>
      <w:marTop w:val="0"/>
      <w:marBottom w:val="0"/>
      <w:divBdr>
        <w:top w:val="none" w:sz="0" w:space="0" w:color="auto"/>
        <w:left w:val="none" w:sz="0" w:space="0" w:color="auto"/>
        <w:bottom w:val="none" w:sz="0" w:space="0" w:color="auto"/>
        <w:right w:val="none" w:sz="0" w:space="0" w:color="auto"/>
      </w:divBdr>
    </w:div>
    <w:div w:id="2114401031">
      <w:bodyDiv w:val="1"/>
      <w:marLeft w:val="0"/>
      <w:marRight w:val="0"/>
      <w:marTop w:val="0"/>
      <w:marBottom w:val="0"/>
      <w:divBdr>
        <w:top w:val="none" w:sz="0" w:space="0" w:color="auto"/>
        <w:left w:val="none" w:sz="0" w:space="0" w:color="auto"/>
        <w:bottom w:val="none" w:sz="0" w:space="0" w:color="auto"/>
        <w:right w:val="none" w:sz="0" w:space="0" w:color="auto"/>
      </w:divBdr>
    </w:div>
    <w:div w:id="2121802099">
      <w:bodyDiv w:val="1"/>
      <w:marLeft w:val="0"/>
      <w:marRight w:val="0"/>
      <w:marTop w:val="0"/>
      <w:marBottom w:val="0"/>
      <w:divBdr>
        <w:top w:val="none" w:sz="0" w:space="0" w:color="auto"/>
        <w:left w:val="none" w:sz="0" w:space="0" w:color="auto"/>
        <w:bottom w:val="none" w:sz="0" w:space="0" w:color="auto"/>
        <w:right w:val="none" w:sz="0" w:space="0" w:color="auto"/>
      </w:divBdr>
    </w:div>
    <w:div w:id="21444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resource/2033/hearth-coc-program-interim-rule/" TargetMode="External"/><Relationship Id="rId18" Type="http://schemas.openxmlformats.org/officeDocument/2006/relationships/hyperlink" Target="https://www.hudexchange.info/resource/2033/hearth-coc-program-interim-rule/" TargetMode="External"/><Relationship Id="rId26" Type="http://schemas.openxmlformats.org/officeDocument/2006/relationships/hyperlink" Target="https://www.hudexchange.info/resource/2033/hearth-coc-program-interim-rule/" TargetMode="External"/><Relationship Id="rId3" Type="http://schemas.openxmlformats.org/officeDocument/2006/relationships/settings" Target="settings.xml"/><Relationship Id="rId21" Type="http://schemas.openxmlformats.org/officeDocument/2006/relationships/hyperlink" Target="https://www.hudexchange.info/resource/2033/hearth-coc-program-interim-rule/" TargetMode="External"/><Relationship Id="rId34" Type="http://schemas.openxmlformats.org/officeDocument/2006/relationships/fontTable" Target="fontTable.xml"/><Relationship Id="rId7" Type="http://schemas.openxmlformats.org/officeDocument/2006/relationships/hyperlink" Target="https://www.hud.gov/sites/documents/5382.DOCX" TargetMode="External"/><Relationship Id="rId12" Type="http://schemas.openxmlformats.org/officeDocument/2006/relationships/hyperlink" Target="https://www.hudexchange.info/resource/2033/hearth-coc-program-interim-rule/" TargetMode="External"/><Relationship Id="rId17" Type="http://schemas.openxmlformats.org/officeDocument/2006/relationships/hyperlink" Target="https://www.hudexchange.info/resource/2033/hearth-coc-program-interim-rule/" TargetMode="External"/><Relationship Id="rId25" Type="http://schemas.openxmlformats.org/officeDocument/2006/relationships/hyperlink" Target="https://www.hudexchange.info/resource/2033/hearth-coc-program-interim-rule/" TargetMode="External"/><Relationship Id="rId33" Type="http://schemas.openxmlformats.org/officeDocument/2006/relationships/hyperlink" Target="https://www.miamidade.gov/resources-homeless/library/nofa-2023/attachment-20-new-hud-project-scoring-criteria.doc" TargetMode="External"/><Relationship Id="rId2" Type="http://schemas.openxmlformats.org/officeDocument/2006/relationships/styles" Target="styles.xml"/><Relationship Id="rId16" Type="http://schemas.openxmlformats.org/officeDocument/2006/relationships/hyperlink" Target="https://www.hudexchange.info/resource/2033/hearth-coc-program-interim-rule/" TargetMode="External"/><Relationship Id="rId20" Type="http://schemas.openxmlformats.org/officeDocument/2006/relationships/hyperlink" Target="https://www.hudexchange.info/resource/2033/hearth-coc-program-interim-rule/" TargetMode="External"/><Relationship Id="rId29" Type="http://schemas.openxmlformats.org/officeDocument/2006/relationships/hyperlink" Target="https://www.hudexchange.info/resource/2033/hearth-coc-program-interim-rule/" TargetMode="External"/><Relationship Id="rId1" Type="http://schemas.openxmlformats.org/officeDocument/2006/relationships/numbering" Target="numbering.xml"/><Relationship Id="rId6" Type="http://schemas.openxmlformats.org/officeDocument/2006/relationships/hyperlink" Target="https://www.ecfr.gov/current/title-49/subtitle-A/part-24?toc=1" TargetMode="External"/><Relationship Id="rId11" Type="http://schemas.openxmlformats.org/officeDocument/2006/relationships/hyperlink" Target="https://www.hudexchange.info/resource/2033/hearth-coc-program-interim-rule/" TargetMode="External"/><Relationship Id="rId24" Type="http://schemas.openxmlformats.org/officeDocument/2006/relationships/hyperlink" Target="https://www.hudexchange.info/resource/2033/hearth-coc-program-interim-rule/" TargetMode="External"/><Relationship Id="rId32" Type="http://schemas.openxmlformats.org/officeDocument/2006/relationships/hyperlink" Target="https://www.hudexchange.info/homelessness-assistance/coc-esg-virtual-binders/coc-eligible-activities/coc-eligible-activities-overview/list-of-coc-eligible-activities/" TargetMode="External"/><Relationship Id="rId5" Type="http://schemas.openxmlformats.org/officeDocument/2006/relationships/hyperlink" Target="https://www.hud.gov/sites/dfiles/SPM/documents/Continuum_of_Care_Competition_and_Noncompetitive_YHDP.pdf" TargetMode="External"/><Relationship Id="rId15" Type="http://schemas.openxmlformats.org/officeDocument/2006/relationships/hyperlink" Target="https://www.homelesstrust.org/resources-homeless/library/providers/standards-of-care/rapid-rehousing.pdf" TargetMode="External"/><Relationship Id="rId23" Type="http://schemas.openxmlformats.org/officeDocument/2006/relationships/hyperlink" Target="https://www.hudexchange.info/resource/2033/hearth-coc-program-interim-rule/" TargetMode="External"/><Relationship Id="rId28" Type="http://schemas.openxmlformats.org/officeDocument/2006/relationships/hyperlink" Target="https://www.hudexchange.info/resource/2033/hearth-coc-program-interim-rule/" TargetMode="External"/><Relationship Id="rId10" Type="http://schemas.openxmlformats.org/officeDocument/2006/relationships/hyperlink" Target="https://www.hudexchange.info/resource/2033/hearth-coc-program-interim-rule/" TargetMode="External"/><Relationship Id="rId19" Type="http://schemas.openxmlformats.org/officeDocument/2006/relationships/hyperlink" Target="https://www.hudexchange.info/resource/2033/hearth-coc-program-interim-rule/" TargetMode="External"/><Relationship Id="rId31" Type="http://schemas.openxmlformats.org/officeDocument/2006/relationships/hyperlink" Target="https://www.hudexchange.info/resource/2033/hearth-coc-program-interim-rule/" TargetMode="External"/><Relationship Id="rId4" Type="http://schemas.openxmlformats.org/officeDocument/2006/relationships/webSettings" Target="webSettings.xml"/><Relationship Id="rId9" Type="http://schemas.openxmlformats.org/officeDocument/2006/relationships/hyperlink" Target="https://www.hudexchange.info/resource/2033/hearth-coc-program-interim-rule/" TargetMode="External"/><Relationship Id="rId14" Type="http://schemas.openxmlformats.org/officeDocument/2006/relationships/hyperlink" Target="https://www.hudexchange.info/homelessness-assistance/coc-esg-virtual-binders/coc-eligible-activities/coc-eligible-activities-overview/list-of-coc-eligible-activities/" TargetMode="External"/><Relationship Id="rId22" Type="http://schemas.openxmlformats.org/officeDocument/2006/relationships/hyperlink" Target="https://www.hudexchange.info/resource/2033/hearth-coc-program-interim-rule/" TargetMode="External"/><Relationship Id="rId27" Type="http://schemas.openxmlformats.org/officeDocument/2006/relationships/hyperlink" Target="https://www.hudexchange.info/resource/2033/hearth-coc-program-interim-rule/" TargetMode="External"/><Relationship Id="rId30" Type="http://schemas.openxmlformats.org/officeDocument/2006/relationships/hyperlink" Target="https://www.hudexchange.info/resource/2033/hearth-coc-program-interim-rule/" TargetMode="External"/><Relationship Id="rId35" Type="http://schemas.openxmlformats.org/officeDocument/2006/relationships/theme" Target="theme/theme1.xml"/><Relationship Id="rId8" Type="http://schemas.openxmlformats.org/officeDocument/2006/relationships/hyperlink" Target="https://www.hudexchange.info/homelessness-assistance/coc-esg-virtual-binders/coc-match/in-kind-match/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Sarria, Manuel (HT)</dc:creator>
  <cp:lastModifiedBy>Sarria, Manuel (HT)</cp:lastModifiedBy>
  <cp:revision>3</cp:revision>
  <dcterms:created xsi:type="dcterms:W3CDTF">2023-06-16T18:57:00Z</dcterms:created>
  <dcterms:modified xsi:type="dcterms:W3CDTF">2023-06-16T19:32:00Z</dcterms:modified>
</cp:coreProperties>
</file>