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9C89" w14:textId="77777777" w:rsidR="00A031B7" w:rsidRPr="009B7BDA" w:rsidRDefault="00E47632" w:rsidP="006001E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353535"/>
          <w:sz w:val="21"/>
          <w:szCs w:val="21"/>
        </w:rPr>
      </w:pPr>
      <w:r w:rsidRPr="009B7BDA">
        <w:rPr>
          <w:rFonts w:ascii="Arial" w:eastAsiaTheme="minorEastAsia" w:hAnsi="Arial" w:cs="Arial"/>
          <w:color w:val="353535"/>
          <w:sz w:val="21"/>
          <w:szCs w:val="21"/>
        </w:rPr>
        <w:t xml:space="preserve">MIAMI-DADE </w:t>
      </w:r>
      <w:r w:rsidR="00E97F75" w:rsidRPr="009B7BDA">
        <w:rPr>
          <w:rFonts w:ascii="Arial" w:eastAsiaTheme="minorEastAsia" w:hAnsi="Arial" w:cs="Arial"/>
          <w:color w:val="353535"/>
          <w:sz w:val="21"/>
          <w:szCs w:val="21"/>
        </w:rPr>
        <w:t>CoC RACIAL EQUITY</w:t>
      </w:r>
    </w:p>
    <w:p w14:paraId="2EF207C4" w14:textId="77777777" w:rsidR="000801B6" w:rsidRPr="006001EF" w:rsidRDefault="000801B6" w:rsidP="006001E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353535"/>
          <w:sz w:val="22"/>
          <w:szCs w:val="22"/>
        </w:rPr>
      </w:pPr>
    </w:p>
    <w:p w14:paraId="1620B56F" w14:textId="77777777" w:rsidR="008C533F" w:rsidRPr="005146C7" w:rsidRDefault="008C533F" w:rsidP="006001EF">
      <w:pPr>
        <w:rPr>
          <w:rFonts w:ascii="Arial" w:eastAsiaTheme="minorEastAsia" w:hAnsi="Arial" w:cs="Arial"/>
          <w:b w:val="0"/>
          <w:bCs w:val="0"/>
          <w:color w:val="212529"/>
          <w:lang w:eastAsia="en-US"/>
        </w:rPr>
      </w:pP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The Homeless T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rust is committed to addressing racial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disparity among persons experiencing homelessness. The Trust recognizes the existence of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racial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disparity and seeks to advance equitable access to housing and service resources for high need individuals and families and those who experience episodic or chronic homelessness. </w:t>
      </w:r>
    </w:p>
    <w:p w14:paraId="7FDD24E2" w14:textId="77777777" w:rsidR="00011E0B" w:rsidRPr="005146C7" w:rsidRDefault="00011E0B" w:rsidP="006001EF">
      <w:pPr>
        <w:rPr>
          <w:rFonts w:ascii="Arial" w:eastAsiaTheme="minorEastAsia" w:hAnsi="Arial" w:cs="Arial"/>
          <w:b w:val="0"/>
          <w:bCs w:val="0"/>
          <w:color w:val="212529"/>
          <w:lang w:eastAsia="en-US"/>
        </w:rPr>
      </w:pPr>
    </w:p>
    <w:p w14:paraId="61DCEFD4" w14:textId="77777777" w:rsidR="008C533F" w:rsidRPr="005146C7" w:rsidRDefault="008C533F" w:rsidP="006001EF">
      <w:pPr>
        <w:rPr>
          <w:rFonts w:ascii="Arial" w:eastAsiaTheme="minorEastAsia" w:hAnsi="Arial" w:cs="Arial"/>
          <w:b w:val="0"/>
          <w:bCs w:val="0"/>
          <w:color w:val="212529"/>
          <w:lang w:eastAsia="en-US"/>
        </w:rPr>
      </w:pP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Data has shown people of color are overrepresented as a portion of the homeless population. While 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B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lack persons represent approximately 18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-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percent of the population, they comprise about 57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-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percent of the homeless population.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Additionally, 66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-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percent of families experiencing homelessness are 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B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lack. 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r w:rsidR="00702065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Based on the data, t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he </w:t>
      </w:r>
      <w:r w:rsidR="00702065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Miami-Dade CoC is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exiting people of color to permanent housing at approximately the same rate with which they enter homelessness.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However, it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i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s clear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hyperlink r:id="rId5" w:tgtFrame="_blank" w:history="1">
        <w:r w:rsidRPr="005146C7">
          <w:rPr>
            <w:rFonts w:ascii="Arial" w:eastAsiaTheme="minorEastAsia" w:hAnsi="Arial" w:cs="Arial"/>
            <w:b w:val="0"/>
            <w:bCs w:val="0"/>
            <w:color w:val="137CBE"/>
            <w:u w:val="single"/>
            <w:lang w:eastAsia="en-US"/>
          </w:rPr>
          <w:t>disparities exist</w:t>
        </w:r>
      </w:hyperlink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and we are just beginning to understand the root causes of why this is occurring and what systems are contributing to these disparities</w:t>
      </w:r>
      <w:r w:rsidR="00F66792"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>.</w:t>
      </w:r>
      <w:r w:rsidRPr="005146C7">
        <w:rPr>
          <w:rFonts w:ascii="Arial" w:eastAsiaTheme="minorEastAsia" w:hAnsi="Arial" w:cs="Arial"/>
          <w:b w:val="0"/>
          <w:bCs w:val="0"/>
          <w:color w:val="212529"/>
          <w:lang w:eastAsia="en-US"/>
        </w:rPr>
        <w:t xml:space="preserve"> </w:t>
      </w:r>
    </w:p>
    <w:p w14:paraId="73E9906C" w14:textId="77777777" w:rsidR="00011E0B" w:rsidRPr="005146C7" w:rsidRDefault="00011E0B" w:rsidP="00435CD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353535"/>
        </w:rPr>
      </w:pPr>
    </w:p>
    <w:p w14:paraId="62567B77" w14:textId="77777777" w:rsidR="008C533F" w:rsidRPr="005146C7" w:rsidRDefault="008C533F" w:rsidP="00435CD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353535"/>
        </w:rPr>
      </w:pPr>
      <w:r w:rsidRPr="005146C7">
        <w:rPr>
          <w:rFonts w:ascii="Arial" w:eastAsiaTheme="minorEastAsia" w:hAnsi="Arial" w:cs="Arial"/>
          <w:color w:val="353535"/>
        </w:rPr>
        <w:t>Measures</w:t>
      </w:r>
      <w:r w:rsidR="00E97F75" w:rsidRPr="005146C7">
        <w:rPr>
          <w:rFonts w:ascii="Arial" w:eastAsiaTheme="minorEastAsia" w:hAnsi="Arial" w:cs="Arial"/>
          <w:color w:val="353535"/>
        </w:rPr>
        <w:t xml:space="preserve"> Towards Racial Equity</w:t>
      </w:r>
    </w:p>
    <w:p w14:paraId="2ACB645D" w14:textId="77777777" w:rsidR="008C533F" w:rsidRPr="005146C7" w:rsidRDefault="008C533F" w:rsidP="00435CD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  <w:color w:val="353535"/>
        </w:rPr>
      </w:pPr>
    </w:p>
    <w:p w14:paraId="57D61F59" w14:textId="77777777" w:rsidR="00435CD1" w:rsidRPr="005146C7" w:rsidRDefault="009651EB" w:rsidP="00435CD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  <w:color w:val="353535"/>
        </w:rPr>
      </w:pPr>
      <w:r w:rsidRPr="005146C7">
        <w:rPr>
          <w:rFonts w:ascii="Arial" w:eastAsiaTheme="minorEastAsia" w:hAnsi="Arial" w:cs="Arial"/>
          <w:b w:val="0"/>
          <w:color w:val="353535"/>
        </w:rPr>
        <w:t xml:space="preserve">The </w:t>
      </w:r>
      <w:r w:rsidR="002151DE" w:rsidRPr="005146C7">
        <w:rPr>
          <w:rFonts w:ascii="Arial" w:eastAsiaTheme="minorEastAsia" w:hAnsi="Arial" w:cs="Arial"/>
          <w:b w:val="0"/>
          <w:color w:val="353535"/>
        </w:rPr>
        <w:t>Trust wil</w:t>
      </w:r>
      <w:r w:rsidRPr="005146C7">
        <w:rPr>
          <w:rFonts w:ascii="Arial" w:eastAsiaTheme="minorEastAsia" w:hAnsi="Arial" w:cs="Arial"/>
          <w:b w:val="0"/>
          <w:color w:val="353535"/>
        </w:rPr>
        <w:t xml:space="preserve">l </w:t>
      </w:r>
      <w:r w:rsidR="000801B6" w:rsidRPr="005146C7">
        <w:rPr>
          <w:rFonts w:ascii="Arial" w:eastAsiaTheme="minorEastAsia" w:hAnsi="Arial" w:cs="Arial"/>
          <w:b w:val="0"/>
          <w:color w:val="353535"/>
        </w:rPr>
        <w:t>or has begun to take</w:t>
      </w:r>
      <w:r w:rsidRPr="005146C7">
        <w:rPr>
          <w:rFonts w:ascii="Arial" w:eastAsiaTheme="minorEastAsia" w:hAnsi="Arial" w:cs="Arial"/>
          <w:b w:val="0"/>
          <w:color w:val="353535"/>
        </w:rPr>
        <w:t xml:space="preserve"> the following measures</w:t>
      </w:r>
      <w:r w:rsidR="00EE0E96" w:rsidRPr="005146C7">
        <w:rPr>
          <w:rFonts w:ascii="Arial" w:eastAsiaTheme="minorEastAsia" w:hAnsi="Arial" w:cs="Arial"/>
          <w:b w:val="0"/>
          <w:color w:val="353535"/>
        </w:rPr>
        <w:t xml:space="preserve"> toward eliminating</w:t>
      </w:r>
      <w:r w:rsidR="002151DE" w:rsidRPr="005146C7">
        <w:rPr>
          <w:rFonts w:ascii="Arial" w:eastAsiaTheme="minorEastAsia" w:hAnsi="Arial" w:cs="Arial"/>
          <w:b w:val="0"/>
          <w:color w:val="353535"/>
        </w:rPr>
        <w:t xml:space="preserve"> </w:t>
      </w:r>
      <w:r w:rsidR="00EE0E96" w:rsidRPr="005146C7">
        <w:rPr>
          <w:rFonts w:ascii="Arial" w:eastAsiaTheme="minorEastAsia" w:hAnsi="Arial" w:cs="Arial"/>
          <w:b w:val="0"/>
          <w:color w:val="353535"/>
        </w:rPr>
        <w:t>race</w:t>
      </w:r>
      <w:r w:rsidR="00CD12C8" w:rsidRPr="005146C7">
        <w:rPr>
          <w:rFonts w:ascii="Arial" w:eastAsiaTheme="minorEastAsia" w:hAnsi="Arial" w:cs="Arial"/>
          <w:b w:val="0"/>
          <w:color w:val="353535"/>
        </w:rPr>
        <w:t xml:space="preserve"> </w:t>
      </w:r>
      <w:r w:rsidR="00287040" w:rsidRPr="005146C7">
        <w:rPr>
          <w:rFonts w:ascii="Arial" w:eastAsiaTheme="minorEastAsia" w:hAnsi="Arial" w:cs="Arial"/>
          <w:b w:val="0"/>
          <w:color w:val="353535"/>
        </w:rPr>
        <w:t>a</w:t>
      </w:r>
      <w:r w:rsidR="00EE0E96" w:rsidRPr="005146C7">
        <w:rPr>
          <w:rFonts w:ascii="Arial" w:eastAsiaTheme="minorEastAsia" w:hAnsi="Arial" w:cs="Arial"/>
          <w:b w:val="0"/>
          <w:color w:val="353535"/>
        </w:rPr>
        <w:t>s a</w:t>
      </w:r>
      <w:r w:rsidR="00287040" w:rsidRPr="005146C7">
        <w:rPr>
          <w:rFonts w:ascii="Arial" w:eastAsiaTheme="minorEastAsia" w:hAnsi="Arial" w:cs="Arial"/>
          <w:b w:val="0"/>
          <w:color w:val="353535"/>
        </w:rPr>
        <w:t xml:space="preserve"> social determinate </w:t>
      </w:r>
      <w:r w:rsidR="00553D27" w:rsidRPr="005146C7">
        <w:rPr>
          <w:rFonts w:ascii="Arial" w:eastAsiaTheme="minorEastAsia" w:hAnsi="Arial" w:cs="Arial"/>
          <w:b w:val="0"/>
          <w:color w:val="353535"/>
        </w:rPr>
        <w:t>of homelessness</w:t>
      </w:r>
      <w:r w:rsidR="00047612" w:rsidRPr="005146C7">
        <w:rPr>
          <w:rFonts w:ascii="Arial" w:eastAsiaTheme="minorEastAsia" w:hAnsi="Arial" w:cs="Arial"/>
          <w:b w:val="0"/>
          <w:color w:val="353535"/>
        </w:rPr>
        <w:t>.</w:t>
      </w:r>
    </w:p>
    <w:p w14:paraId="4C7D71D2" w14:textId="77777777" w:rsidR="002151DE" w:rsidRPr="005146C7" w:rsidRDefault="002151DE" w:rsidP="00435CD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  <w:color w:val="353535"/>
        </w:rPr>
      </w:pPr>
    </w:p>
    <w:p w14:paraId="038472FD" w14:textId="77777777" w:rsidR="003B487B" w:rsidRPr="005146C7" w:rsidRDefault="009261EB" w:rsidP="003B48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Conduct d</w:t>
      </w:r>
      <w:r w:rsidR="000C5236" w:rsidRPr="005146C7">
        <w:rPr>
          <w:rFonts w:ascii="Arial" w:eastAsiaTheme="minorEastAsia" w:hAnsi="Arial" w:cs="Arial"/>
          <w:b w:val="0"/>
        </w:rPr>
        <w:t>ata-based a</w:t>
      </w:r>
      <w:r w:rsidR="00A110B3" w:rsidRPr="005146C7">
        <w:rPr>
          <w:rFonts w:ascii="Arial" w:eastAsiaTheme="minorEastAsia" w:hAnsi="Arial" w:cs="Arial"/>
          <w:b w:val="0"/>
        </w:rPr>
        <w:t>ssess</w:t>
      </w:r>
      <w:r w:rsidR="000C5236" w:rsidRPr="005146C7">
        <w:rPr>
          <w:rFonts w:ascii="Arial" w:eastAsiaTheme="minorEastAsia" w:hAnsi="Arial" w:cs="Arial"/>
          <w:b w:val="0"/>
        </w:rPr>
        <w:t xml:space="preserve">ment and </w:t>
      </w:r>
      <w:r w:rsidR="008E70D5" w:rsidRPr="005146C7">
        <w:rPr>
          <w:rFonts w:ascii="Arial" w:eastAsiaTheme="minorEastAsia" w:hAnsi="Arial" w:cs="Arial"/>
          <w:b w:val="0"/>
        </w:rPr>
        <w:t xml:space="preserve">annual </w:t>
      </w:r>
      <w:r w:rsidR="00A110B3" w:rsidRPr="005146C7">
        <w:rPr>
          <w:rFonts w:ascii="Arial" w:eastAsiaTheme="minorEastAsia" w:hAnsi="Arial" w:cs="Arial"/>
          <w:b w:val="0"/>
        </w:rPr>
        <w:t>reassess</w:t>
      </w:r>
      <w:r w:rsidR="008E70D5" w:rsidRPr="005146C7">
        <w:rPr>
          <w:rFonts w:ascii="Arial" w:eastAsiaTheme="minorEastAsia" w:hAnsi="Arial" w:cs="Arial"/>
          <w:b w:val="0"/>
        </w:rPr>
        <w:t xml:space="preserve">ments </w:t>
      </w:r>
      <w:r w:rsidR="000C5236" w:rsidRPr="005146C7">
        <w:rPr>
          <w:rFonts w:ascii="Arial" w:eastAsiaTheme="minorEastAsia" w:hAnsi="Arial" w:cs="Arial"/>
          <w:b w:val="0"/>
        </w:rPr>
        <w:t>of racial disparity</w:t>
      </w:r>
      <w:r w:rsidRPr="005146C7">
        <w:rPr>
          <w:rFonts w:ascii="Arial" w:eastAsiaTheme="minorEastAsia" w:hAnsi="Arial" w:cs="Arial"/>
          <w:b w:val="0"/>
        </w:rPr>
        <w:t xml:space="preserve"> in</w:t>
      </w:r>
      <w:r w:rsidR="004D7DEF" w:rsidRPr="005146C7">
        <w:rPr>
          <w:rFonts w:ascii="Arial" w:eastAsiaTheme="minorEastAsia" w:hAnsi="Arial" w:cs="Arial"/>
          <w:b w:val="0"/>
        </w:rPr>
        <w:t xml:space="preserve"> </w:t>
      </w:r>
      <w:r w:rsidR="000C5236" w:rsidRPr="005146C7">
        <w:rPr>
          <w:rFonts w:ascii="Arial" w:eastAsiaTheme="minorEastAsia" w:hAnsi="Arial" w:cs="Arial"/>
          <w:b w:val="0"/>
        </w:rPr>
        <w:t>the experience of homelessness;</w:t>
      </w:r>
      <w:r w:rsidR="004D7DEF" w:rsidRPr="005146C7">
        <w:rPr>
          <w:rFonts w:ascii="Arial" w:eastAsiaTheme="minorEastAsia" w:hAnsi="Arial" w:cs="Arial"/>
          <w:b w:val="0"/>
        </w:rPr>
        <w:t xml:space="preserve"> </w:t>
      </w:r>
      <w:r w:rsidRPr="005146C7">
        <w:rPr>
          <w:rFonts w:ascii="Arial" w:eastAsiaTheme="minorEastAsia" w:hAnsi="Arial" w:cs="Arial"/>
          <w:b w:val="0"/>
        </w:rPr>
        <w:t>access to the CoC; and</w:t>
      </w:r>
      <w:r w:rsidR="004D7DEF" w:rsidRPr="005146C7">
        <w:rPr>
          <w:rFonts w:ascii="Arial" w:eastAsiaTheme="minorEastAsia" w:hAnsi="Arial" w:cs="Arial"/>
          <w:b w:val="0"/>
        </w:rPr>
        <w:t xml:space="preserve"> </w:t>
      </w:r>
      <w:r w:rsidR="0036644F" w:rsidRPr="005146C7">
        <w:rPr>
          <w:rFonts w:ascii="Arial" w:eastAsiaTheme="minorEastAsia" w:hAnsi="Arial" w:cs="Arial"/>
          <w:b w:val="0"/>
        </w:rPr>
        <w:t>outcomes of CoC housing assistance</w:t>
      </w:r>
      <w:r w:rsidR="004D7DEF" w:rsidRPr="005146C7">
        <w:rPr>
          <w:rFonts w:ascii="Arial" w:eastAsiaTheme="minorEastAsia" w:hAnsi="Arial" w:cs="Arial"/>
          <w:b w:val="0"/>
        </w:rPr>
        <w:t>.</w:t>
      </w:r>
      <w:r w:rsidR="00444D56" w:rsidRPr="005146C7">
        <w:rPr>
          <w:rFonts w:ascii="Arial" w:eastAsiaTheme="minorEastAsia" w:hAnsi="Arial" w:cs="Arial"/>
          <w:b w:val="0"/>
        </w:rPr>
        <w:t xml:space="preserve"> </w:t>
      </w:r>
      <w:r w:rsidR="004D7DEF" w:rsidRPr="005146C7">
        <w:rPr>
          <w:rFonts w:ascii="Arial" w:eastAsiaTheme="minorEastAsia" w:hAnsi="Arial" w:cs="Arial"/>
          <w:b w:val="0"/>
          <w:color w:val="FF0000"/>
        </w:rPr>
        <w:t xml:space="preserve">First </w:t>
      </w:r>
      <w:r w:rsidR="00D97713" w:rsidRPr="005146C7">
        <w:rPr>
          <w:rFonts w:ascii="Arial" w:eastAsiaTheme="minorEastAsia" w:hAnsi="Arial" w:cs="Arial"/>
          <w:b w:val="0"/>
          <w:color w:val="FF0000"/>
        </w:rPr>
        <w:t xml:space="preserve">racial disparities </w:t>
      </w:r>
      <w:r w:rsidR="009112A8" w:rsidRPr="005146C7">
        <w:rPr>
          <w:rFonts w:ascii="Arial" w:eastAsiaTheme="minorEastAsia" w:hAnsi="Arial" w:cs="Arial"/>
          <w:b w:val="0"/>
          <w:color w:val="FF0000"/>
        </w:rPr>
        <w:t xml:space="preserve">assessment conducted in </w:t>
      </w:r>
      <w:r w:rsidR="0078139D" w:rsidRPr="005146C7">
        <w:rPr>
          <w:rFonts w:ascii="Arial" w:eastAsiaTheme="minorEastAsia" w:hAnsi="Arial" w:cs="Arial"/>
          <w:b w:val="0"/>
          <w:color w:val="FF0000"/>
        </w:rPr>
        <w:t xml:space="preserve">Fall </w:t>
      </w:r>
      <w:r w:rsidR="009112A8" w:rsidRPr="005146C7">
        <w:rPr>
          <w:rFonts w:ascii="Arial" w:eastAsiaTheme="minorEastAsia" w:hAnsi="Arial" w:cs="Arial"/>
          <w:b w:val="0"/>
          <w:color w:val="FF0000"/>
        </w:rPr>
        <w:t>2018</w:t>
      </w:r>
      <w:r w:rsidR="00376488" w:rsidRPr="005146C7">
        <w:rPr>
          <w:rFonts w:ascii="Arial" w:eastAsiaTheme="minorEastAsia" w:hAnsi="Arial" w:cs="Arial"/>
          <w:b w:val="0"/>
          <w:color w:val="FF0000"/>
        </w:rPr>
        <w:t xml:space="preserve">. </w:t>
      </w:r>
      <w:r w:rsidR="00F66792" w:rsidRPr="005146C7">
        <w:rPr>
          <w:rFonts w:ascii="Arial" w:eastAsiaTheme="minorEastAsia" w:hAnsi="Arial" w:cs="Arial"/>
          <w:b w:val="0"/>
          <w:color w:val="FF0000"/>
        </w:rPr>
        <w:t>The m</w:t>
      </w:r>
      <w:r w:rsidR="00376488" w:rsidRPr="005146C7">
        <w:rPr>
          <w:rFonts w:ascii="Arial" w:eastAsiaTheme="minorEastAsia" w:hAnsi="Arial" w:cs="Arial"/>
          <w:b w:val="0"/>
          <w:color w:val="FF0000"/>
        </w:rPr>
        <w:t>ost recent re-assessme</w:t>
      </w:r>
      <w:r w:rsidR="009112A8" w:rsidRPr="005146C7">
        <w:rPr>
          <w:rFonts w:ascii="Arial" w:eastAsiaTheme="minorEastAsia" w:hAnsi="Arial" w:cs="Arial"/>
          <w:b w:val="0"/>
          <w:color w:val="FF0000"/>
        </w:rPr>
        <w:t xml:space="preserve">nt </w:t>
      </w:r>
      <w:r w:rsidR="0078139D" w:rsidRPr="005146C7">
        <w:rPr>
          <w:rFonts w:ascii="Arial" w:eastAsiaTheme="minorEastAsia" w:hAnsi="Arial" w:cs="Arial"/>
          <w:b w:val="0"/>
          <w:color w:val="FF0000"/>
        </w:rPr>
        <w:t xml:space="preserve">report </w:t>
      </w:r>
      <w:r w:rsidR="009112A8" w:rsidRPr="005146C7">
        <w:rPr>
          <w:rFonts w:ascii="Arial" w:eastAsiaTheme="minorEastAsia" w:hAnsi="Arial" w:cs="Arial"/>
          <w:b w:val="0"/>
          <w:color w:val="FF0000"/>
        </w:rPr>
        <w:t>was released</w:t>
      </w:r>
      <w:r w:rsidR="00376488" w:rsidRPr="005146C7">
        <w:rPr>
          <w:rFonts w:ascii="Arial" w:eastAsiaTheme="minorEastAsia" w:hAnsi="Arial" w:cs="Arial"/>
          <w:b w:val="0"/>
          <w:color w:val="FF0000"/>
        </w:rPr>
        <w:t xml:space="preserve"> </w:t>
      </w:r>
      <w:r w:rsidRPr="005146C7">
        <w:rPr>
          <w:rFonts w:ascii="Arial" w:eastAsiaTheme="minorEastAsia" w:hAnsi="Arial" w:cs="Arial"/>
          <w:b w:val="0"/>
          <w:color w:val="FF0000"/>
        </w:rPr>
        <w:t xml:space="preserve">in </w:t>
      </w:r>
      <w:r w:rsidR="00376488" w:rsidRPr="005146C7">
        <w:rPr>
          <w:rFonts w:ascii="Arial" w:eastAsiaTheme="minorEastAsia" w:hAnsi="Arial" w:cs="Arial"/>
          <w:b w:val="0"/>
          <w:color w:val="FF0000"/>
        </w:rPr>
        <w:t>November 2020.</w:t>
      </w:r>
    </w:p>
    <w:p w14:paraId="0B3C0464" w14:textId="77777777" w:rsidR="003B487B" w:rsidRPr="005146C7" w:rsidRDefault="003B487B" w:rsidP="003B487B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</w:p>
    <w:p w14:paraId="188137D0" w14:textId="77777777" w:rsidR="00FC5A21" w:rsidRPr="005146C7" w:rsidRDefault="00A01736" w:rsidP="003B48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 xml:space="preserve">Ensure that </w:t>
      </w:r>
      <w:r w:rsidR="00FE6E3B" w:rsidRPr="005146C7">
        <w:rPr>
          <w:rFonts w:ascii="Arial" w:eastAsiaTheme="minorEastAsia" w:hAnsi="Arial" w:cs="Arial"/>
          <w:b w:val="0"/>
        </w:rPr>
        <w:t>persons</w:t>
      </w:r>
      <w:r w:rsidR="00E518A5" w:rsidRPr="005146C7">
        <w:rPr>
          <w:rFonts w:ascii="Arial" w:eastAsiaTheme="minorEastAsia" w:hAnsi="Arial" w:cs="Arial"/>
          <w:b w:val="0"/>
        </w:rPr>
        <w:t xml:space="preserve"> </w:t>
      </w:r>
      <w:r w:rsidR="00CA468F" w:rsidRPr="005146C7">
        <w:rPr>
          <w:rFonts w:ascii="Arial" w:eastAsiaTheme="minorEastAsia" w:hAnsi="Arial" w:cs="Arial"/>
          <w:b w:val="0"/>
        </w:rPr>
        <w:t xml:space="preserve">with lived experience </w:t>
      </w:r>
      <w:r w:rsidR="007955B6" w:rsidRPr="005146C7">
        <w:rPr>
          <w:rFonts w:ascii="Arial" w:eastAsiaTheme="minorEastAsia" w:hAnsi="Arial" w:cs="Arial"/>
          <w:b w:val="0"/>
        </w:rPr>
        <w:t>of homelessness</w:t>
      </w:r>
      <w:r w:rsidR="006B3605" w:rsidRPr="005146C7">
        <w:rPr>
          <w:rFonts w:ascii="Arial" w:eastAsiaTheme="minorEastAsia" w:hAnsi="Arial" w:cs="Arial"/>
          <w:b w:val="0"/>
        </w:rPr>
        <w:t xml:space="preserve"> and </w:t>
      </w:r>
      <w:r w:rsidR="00EC6991" w:rsidRPr="005146C7">
        <w:rPr>
          <w:rFonts w:ascii="Arial" w:eastAsiaTheme="minorEastAsia" w:hAnsi="Arial" w:cs="Arial"/>
          <w:b w:val="0"/>
        </w:rPr>
        <w:t xml:space="preserve">representative of </w:t>
      </w:r>
    </w:p>
    <w:p w14:paraId="3046E4FB" w14:textId="77777777" w:rsidR="00FC5257" w:rsidRPr="005146C7" w:rsidRDefault="00F66792" w:rsidP="00FC5A2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P</w:t>
      </w:r>
      <w:r w:rsidR="006508B1" w:rsidRPr="005146C7">
        <w:rPr>
          <w:rFonts w:ascii="Arial" w:eastAsiaTheme="minorEastAsia" w:hAnsi="Arial" w:cs="Arial"/>
          <w:b w:val="0"/>
        </w:rPr>
        <w:t>ersons</w:t>
      </w:r>
      <w:r w:rsidR="003B487B" w:rsidRPr="005146C7">
        <w:rPr>
          <w:rStyle w:val="apple-converted-space"/>
          <w:rFonts w:ascii="Arial" w:hAnsi="Arial" w:cs="Arial"/>
          <w:shd w:val="clear" w:color="auto" w:fill="FFFFFF"/>
        </w:rPr>
        <w:t> </w:t>
      </w:r>
      <w:r w:rsidR="003B487B" w:rsidRPr="005146C7">
        <w:rPr>
          <w:rStyle w:val="Emphasis"/>
          <w:rFonts w:ascii="Arial" w:hAnsi="Arial" w:cs="Arial"/>
          <w:b w:val="0"/>
          <w:bCs w:val="0"/>
          <w:i w:val="0"/>
          <w:iCs w:val="0"/>
        </w:rPr>
        <w:t>disproportionately</w:t>
      </w:r>
      <w:r w:rsidR="003B487B" w:rsidRPr="005146C7">
        <w:t xml:space="preserve"> </w:t>
      </w:r>
      <w:r w:rsidR="003B487B" w:rsidRPr="005146C7">
        <w:rPr>
          <w:rFonts w:ascii="Arial" w:eastAsiaTheme="minorEastAsia" w:hAnsi="Arial" w:cs="Arial"/>
          <w:b w:val="0"/>
        </w:rPr>
        <w:t>experiencing homelessness</w:t>
      </w:r>
      <w:r w:rsidR="000F0753" w:rsidRPr="005146C7">
        <w:rPr>
          <w:rFonts w:ascii="Arial" w:eastAsiaTheme="minorEastAsia" w:hAnsi="Arial" w:cs="Arial"/>
          <w:b w:val="0"/>
        </w:rPr>
        <w:t xml:space="preserve"> </w:t>
      </w:r>
      <w:r w:rsidR="00CA468F" w:rsidRPr="005146C7">
        <w:rPr>
          <w:rFonts w:ascii="Arial" w:eastAsiaTheme="minorEastAsia" w:hAnsi="Arial" w:cs="Arial"/>
          <w:b w:val="0"/>
        </w:rPr>
        <w:t>are at the policymaking table</w:t>
      </w:r>
      <w:r w:rsidR="00A01736" w:rsidRPr="005146C7">
        <w:rPr>
          <w:rFonts w:ascii="Arial" w:eastAsiaTheme="minorEastAsia" w:hAnsi="Arial" w:cs="Arial"/>
          <w:b w:val="0"/>
        </w:rPr>
        <w:t xml:space="preserve"> (Trust Board, board comm</w:t>
      </w:r>
      <w:r w:rsidR="00D97713" w:rsidRPr="005146C7">
        <w:rPr>
          <w:rFonts w:ascii="Arial" w:eastAsiaTheme="minorEastAsia" w:hAnsi="Arial" w:cs="Arial"/>
          <w:b w:val="0"/>
        </w:rPr>
        <w:t>ittees and working sub-committees)</w:t>
      </w:r>
      <w:r w:rsidR="00CA468F" w:rsidRPr="005146C7">
        <w:rPr>
          <w:rFonts w:ascii="Arial" w:eastAsiaTheme="minorEastAsia" w:hAnsi="Arial" w:cs="Arial"/>
          <w:b w:val="0"/>
        </w:rPr>
        <w:t>.</w:t>
      </w:r>
      <w:r w:rsidR="00A110B3" w:rsidRPr="005146C7">
        <w:rPr>
          <w:rFonts w:ascii="Arial" w:eastAsiaTheme="minorEastAsia" w:hAnsi="Arial" w:cs="Arial"/>
          <w:b w:val="0"/>
        </w:rPr>
        <w:t xml:space="preserve"> </w:t>
      </w:r>
    </w:p>
    <w:p w14:paraId="2ACB306D" w14:textId="77777777" w:rsidR="00A01736" w:rsidRPr="005146C7" w:rsidRDefault="00A01736" w:rsidP="00A0173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</w:p>
    <w:p w14:paraId="500D84C3" w14:textId="77777777" w:rsidR="000E4E86" w:rsidRPr="005146C7" w:rsidRDefault="00E7434A" w:rsidP="004108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Adopt p</w:t>
      </w:r>
      <w:r w:rsidR="00410860" w:rsidRPr="005146C7">
        <w:rPr>
          <w:rFonts w:ascii="Arial" w:eastAsiaTheme="minorEastAsia" w:hAnsi="Arial" w:cs="Arial"/>
          <w:b w:val="0"/>
        </w:rPr>
        <w:t>rocurement</w:t>
      </w:r>
      <w:r w:rsidRPr="005146C7">
        <w:rPr>
          <w:rFonts w:ascii="Arial" w:eastAsiaTheme="minorEastAsia" w:hAnsi="Arial" w:cs="Arial"/>
          <w:b w:val="0"/>
        </w:rPr>
        <w:t xml:space="preserve"> and contract monitoring p</w:t>
      </w:r>
      <w:r w:rsidR="00FC5257" w:rsidRPr="005146C7">
        <w:rPr>
          <w:rFonts w:ascii="Arial" w:eastAsiaTheme="minorEastAsia" w:hAnsi="Arial" w:cs="Arial"/>
          <w:b w:val="0"/>
        </w:rPr>
        <w:t>ractices</w:t>
      </w:r>
      <w:r w:rsidRPr="005146C7">
        <w:rPr>
          <w:rFonts w:ascii="Arial" w:eastAsiaTheme="minorEastAsia" w:hAnsi="Arial" w:cs="Arial"/>
          <w:b w:val="0"/>
        </w:rPr>
        <w:t xml:space="preserve"> designed to promote racial equity</w:t>
      </w:r>
      <w:r w:rsidR="00410860" w:rsidRPr="005146C7">
        <w:rPr>
          <w:rFonts w:ascii="Arial" w:eastAsiaTheme="minorEastAsia" w:hAnsi="Arial" w:cs="Arial"/>
          <w:b w:val="0"/>
        </w:rPr>
        <w:t>:</w:t>
      </w:r>
      <w:r w:rsidR="00410860" w:rsidRPr="005146C7">
        <w:rPr>
          <w:rFonts w:asciiTheme="minorHAnsi" w:eastAsiaTheme="minorEastAsia" w:hAnsi="Calibri" w:cstheme="minorBidi"/>
          <w:b w:val="0"/>
          <w:bCs w:val="0"/>
          <w:color w:val="000000" w:themeColor="text1"/>
          <w:kern w:val="24"/>
          <w:lang w:eastAsia="en-US"/>
        </w:rPr>
        <w:t xml:space="preserve"> </w:t>
      </w:r>
    </w:p>
    <w:p w14:paraId="31AB0B67" w14:textId="77777777" w:rsidR="00510C5F" w:rsidRPr="005146C7" w:rsidRDefault="00410860" w:rsidP="00510C5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  <w:bCs w:val="0"/>
          <w:color w:val="000000" w:themeColor="text1"/>
          <w:kern w:val="24"/>
          <w:lang w:eastAsia="en-US"/>
        </w:rPr>
        <w:t xml:space="preserve">Solicit </w:t>
      </w:r>
      <w:r w:rsidR="005D79B3" w:rsidRPr="005146C7">
        <w:rPr>
          <w:rFonts w:ascii="Arial" w:eastAsiaTheme="minorEastAsia" w:hAnsi="Arial" w:cs="Arial"/>
          <w:b w:val="0"/>
          <w:bCs w:val="0"/>
          <w:color w:val="000000" w:themeColor="text1"/>
          <w:kern w:val="24"/>
          <w:lang w:eastAsia="en-US"/>
        </w:rPr>
        <w:t xml:space="preserve">input and </w:t>
      </w:r>
      <w:r w:rsidRPr="005146C7">
        <w:rPr>
          <w:rFonts w:ascii="Arial" w:eastAsiaTheme="minorEastAsia" w:hAnsi="Arial" w:cs="Arial"/>
          <w:b w:val="0"/>
          <w:bCs w:val="0"/>
          <w:color w:val="000000" w:themeColor="text1"/>
          <w:kern w:val="24"/>
          <w:lang w:eastAsia="en-US"/>
        </w:rPr>
        <w:t>comments from persons with lived experience during development of RFAs and RFPs</w:t>
      </w:r>
      <w:r w:rsidR="000E4E86" w:rsidRPr="005146C7">
        <w:rPr>
          <w:rFonts w:ascii="Arial" w:eastAsiaTheme="minorEastAsia" w:hAnsi="Arial" w:cs="Arial"/>
          <w:b w:val="0"/>
          <w:bCs w:val="0"/>
          <w:color w:val="000000" w:themeColor="text1"/>
          <w:kern w:val="24"/>
          <w:lang w:eastAsia="en-US"/>
        </w:rPr>
        <w:t>.</w:t>
      </w:r>
    </w:p>
    <w:p w14:paraId="09E12ABD" w14:textId="77777777" w:rsidR="009B2628" w:rsidRPr="005146C7" w:rsidRDefault="00BD3B34" w:rsidP="009534B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  <w:color w:val="000000" w:themeColor="text1"/>
          <w:kern w:val="24"/>
          <w:lang w:eastAsia="en-US"/>
        </w:rPr>
        <w:t xml:space="preserve">Review </w:t>
      </w:r>
      <w:r w:rsidR="0012451B" w:rsidRPr="005146C7">
        <w:rPr>
          <w:rFonts w:ascii="Arial" w:eastAsiaTheme="minorEastAsia" w:hAnsi="Arial" w:cs="Arial"/>
          <w:b w:val="0"/>
          <w:color w:val="000000" w:themeColor="text1"/>
          <w:kern w:val="24"/>
          <w:lang w:eastAsia="en-US"/>
        </w:rPr>
        <w:t xml:space="preserve">and amend </w:t>
      </w:r>
      <w:r w:rsidRPr="005146C7">
        <w:rPr>
          <w:rFonts w:ascii="Arial" w:eastAsiaTheme="minorEastAsia" w:hAnsi="Arial" w:cs="Arial"/>
          <w:b w:val="0"/>
          <w:color w:val="000000" w:themeColor="text1"/>
          <w:kern w:val="24"/>
          <w:lang w:eastAsia="en-US"/>
        </w:rPr>
        <w:t xml:space="preserve">procurement practices to </w:t>
      </w:r>
      <w:r w:rsidR="009534BD" w:rsidRPr="005146C7">
        <w:rPr>
          <w:rFonts w:ascii="Arial" w:hAnsi="Arial" w:cs="Arial"/>
          <w:b w:val="0"/>
        </w:rPr>
        <w:t xml:space="preserve">increase </w:t>
      </w:r>
      <w:r w:rsidR="009B2628" w:rsidRPr="005146C7">
        <w:rPr>
          <w:rFonts w:ascii="Arial" w:eastAsiaTheme="minorEastAsia" w:hAnsi="Arial" w:cs="Arial"/>
          <w:b w:val="0"/>
          <w:bCs w:val="0"/>
          <w:lang w:eastAsia="en-US"/>
        </w:rPr>
        <w:t xml:space="preserve">availability of culturally appropriate services in areas of need and </w:t>
      </w:r>
      <w:r w:rsidR="00C05A4B" w:rsidRPr="005146C7">
        <w:rPr>
          <w:rFonts w:ascii="Arial" w:eastAsiaTheme="minorEastAsia" w:hAnsi="Arial" w:cs="Arial"/>
          <w:b w:val="0"/>
          <w:bCs w:val="0"/>
          <w:lang w:eastAsia="en-US"/>
        </w:rPr>
        <w:t xml:space="preserve">offer </w:t>
      </w:r>
      <w:r w:rsidR="009B2628" w:rsidRPr="005146C7">
        <w:rPr>
          <w:rFonts w:ascii="Arial" w:eastAsiaTheme="minorEastAsia" w:hAnsi="Arial" w:cs="Arial"/>
          <w:b w:val="0"/>
          <w:bCs w:val="0"/>
          <w:lang w:eastAsia="en-US"/>
        </w:rPr>
        <w:t>service delivery</w:t>
      </w:r>
      <w:r w:rsidR="009534BD" w:rsidRPr="005146C7">
        <w:rPr>
          <w:rFonts w:ascii="Arial" w:eastAsiaTheme="minorEastAsia" w:hAnsi="Arial" w:cs="Arial"/>
          <w:b w:val="0"/>
          <w:bCs w:val="0"/>
          <w:lang w:eastAsia="en-US"/>
        </w:rPr>
        <w:t xml:space="preserve"> </w:t>
      </w:r>
      <w:r w:rsidR="009B2628" w:rsidRPr="005146C7">
        <w:rPr>
          <w:rFonts w:ascii="Arial" w:eastAsiaTheme="minorEastAsia" w:hAnsi="Arial" w:cs="Arial"/>
          <w:b w:val="0"/>
          <w:bCs w:val="0"/>
          <w:lang w:eastAsia="en-US"/>
        </w:rPr>
        <w:t>by organizations best equipped to meet the needs of marginalized populations</w:t>
      </w:r>
      <w:r w:rsidR="00AD13D9" w:rsidRPr="005146C7">
        <w:rPr>
          <w:rFonts w:ascii="Arial" w:eastAsiaTheme="minorEastAsia" w:hAnsi="Arial" w:cs="Arial"/>
          <w:b w:val="0"/>
          <w:bCs w:val="0"/>
          <w:lang w:eastAsia="en-US"/>
        </w:rPr>
        <w:t xml:space="preserve"> through</w:t>
      </w:r>
      <w:r w:rsidR="00C14E93" w:rsidRPr="005146C7">
        <w:rPr>
          <w:rFonts w:ascii="Arial" w:eastAsiaTheme="minorEastAsia" w:hAnsi="Arial" w:cs="Arial"/>
          <w:b w:val="0"/>
          <w:bCs w:val="0"/>
          <w:lang w:eastAsia="en-US"/>
        </w:rPr>
        <w:t xml:space="preserve"> contracting with</w:t>
      </w:r>
      <w:r w:rsidR="009B2628" w:rsidRPr="005146C7">
        <w:rPr>
          <w:rFonts w:ascii="Verdana" w:eastAsiaTheme="minorEastAsia" w:hAnsi="Verdana"/>
          <w:b w:val="0"/>
          <w:bCs w:val="0"/>
          <w:lang w:eastAsia="en-US"/>
        </w:rPr>
        <w:t xml:space="preserve"> </w:t>
      </w:r>
      <w:r w:rsidR="00AD13D9" w:rsidRPr="005146C7">
        <w:rPr>
          <w:rFonts w:ascii="Arial" w:hAnsi="Arial" w:cs="Arial"/>
          <w:b w:val="0"/>
        </w:rPr>
        <w:t>smaller community-based organizations and those led by people of color</w:t>
      </w:r>
      <w:r w:rsidR="00C14E93" w:rsidRPr="005146C7">
        <w:rPr>
          <w:rFonts w:ascii="Arial" w:hAnsi="Arial" w:cs="Arial"/>
          <w:b w:val="0"/>
        </w:rPr>
        <w:t>.</w:t>
      </w:r>
    </w:p>
    <w:p w14:paraId="1E31509B" w14:textId="77777777" w:rsidR="009928FE" w:rsidRPr="005146C7" w:rsidRDefault="00410860" w:rsidP="00E7434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Include bonus points in solicitations for proposers that have Racial Equity goals/statements and have reviewed composition</w:t>
      </w:r>
      <w:r w:rsidR="00AF17B8" w:rsidRPr="005146C7">
        <w:rPr>
          <w:rFonts w:ascii="Arial" w:eastAsiaTheme="minorEastAsia" w:hAnsi="Arial" w:cs="Arial"/>
          <w:b w:val="0"/>
        </w:rPr>
        <w:t xml:space="preserve"> of their Board, staff and</w:t>
      </w:r>
      <w:r w:rsidR="009928FE" w:rsidRPr="005146C7">
        <w:rPr>
          <w:rFonts w:ascii="Arial" w:eastAsiaTheme="minorEastAsia" w:hAnsi="Arial" w:cs="Arial"/>
          <w:b w:val="0"/>
        </w:rPr>
        <w:t xml:space="preserve"> clients. </w:t>
      </w:r>
      <w:r w:rsidR="009928FE" w:rsidRPr="005146C7">
        <w:rPr>
          <w:rFonts w:ascii="Arial" w:eastAsiaTheme="minorEastAsia" w:hAnsi="Arial" w:cs="Arial"/>
          <w:b w:val="0"/>
          <w:color w:val="FF0000"/>
        </w:rPr>
        <w:t>Bonus points incorporated into 2021 RFA for State ESG-CV Awards.</w:t>
      </w:r>
    </w:p>
    <w:p w14:paraId="64EE09C5" w14:textId="77777777" w:rsidR="00CA468F" w:rsidRPr="005146C7" w:rsidRDefault="000E4E86" w:rsidP="00E7434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Embed racial equity questions i</w:t>
      </w:r>
      <w:r w:rsidR="008A113D" w:rsidRPr="005146C7">
        <w:rPr>
          <w:rFonts w:ascii="Arial" w:eastAsiaTheme="minorEastAsia" w:hAnsi="Arial" w:cs="Arial"/>
          <w:b w:val="0"/>
        </w:rPr>
        <w:t>nto risk assessments</w:t>
      </w:r>
      <w:r w:rsidR="009928FE" w:rsidRPr="005146C7">
        <w:rPr>
          <w:rFonts w:ascii="Arial" w:eastAsiaTheme="minorEastAsia" w:hAnsi="Arial" w:cs="Arial"/>
          <w:b w:val="0"/>
        </w:rPr>
        <w:t xml:space="preserve"> and contract monitoring processes</w:t>
      </w:r>
      <w:r w:rsidR="00934F09" w:rsidRPr="005146C7">
        <w:rPr>
          <w:rFonts w:ascii="Arial" w:eastAsiaTheme="minorEastAsia" w:hAnsi="Arial" w:cs="Arial"/>
          <w:b w:val="0"/>
        </w:rPr>
        <w:t xml:space="preserve"> for contracted providers.</w:t>
      </w:r>
      <w:r w:rsidR="008A113D" w:rsidRPr="005146C7">
        <w:rPr>
          <w:rFonts w:ascii="Arial" w:eastAsiaTheme="minorEastAsia" w:hAnsi="Arial" w:cs="Arial"/>
          <w:b w:val="0"/>
        </w:rPr>
        <w:t xml:space="preserve"> </w:t>
      </w:r>
      <w:r w:rsidR="008A113D" w:rsidRPr="005146C7">
        <w:rPr>
          <w:rFonts w:ascii="Arial" w:eastAsiaTheme="minorEastAsia" w:hAnsi="Arial" w:cs="Arial"/>
          <w:b w:val="0"/>
          <w:color w:val="FF0000"/>
        </w:rPr>
        <w:t xml:space="preserve">Commenced in </w:t>
      </w:r>
      <w:r w:rsidR="00F01FAB" w:rsidRPr="005146C7">
        <w:rPr>
          <w:rFonts w:ascii="Arial" w:eastAsiaTheme="minorEastAsia" w:hAnsi="Arial" w:cs="Arial"/>
          <w:b w:val="0"/>
          <w:color w:val="FF0000"/>
        </w:rPr>
        <w:t xml:space="preserve">the </w:t>
      </w:r>
      <w:r w:rsidR="00811395" w:rsidRPr="005146C7">
        <w:rPr>
          <w:rFonts w:ascii="Arial" w:eastAsiaTheme="minorEastAsia" w:hAnsi="Arial" w:cs="Arial"/>
          <w:b w:val="0"/>
          <w:color w:val="FF0000"/>
        </w:rPr>
        <w:t xml:space="preserve">2021 </w:t>
      </w:r>
      <w:r w:rsidR="00923C19" w:rsidRPr="005146C7">
        <w:rPr>
          <w:rFonts w:ascii="Arial" w:eastAsiaTheme="minorEastAsia" w:hAnsi="Arial" w:cs="Arial"/>
          <w:b w:val="0"/>
          <w:color w:val="FF0000"/>
        </w:rPr>
        <w:t>risk assessment of contracted providers.</w:t>
      </w:r>
    </w:p>
    <w:p w14:paraId="1AF9C500" w14:textId="77777777" w:rsidR="00811395" w:rsidRPr="005146C7" w:rsidRDefault="00811395" w:rsidP="0081139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 xml:space="preserve">Require Racial Equity Plan for contracting. </w:t>
      </w:r>
    </w:p>
    <w:p w14:paraId="7B076331" w14:textId="77777777" w:rsidR="0035364E" w:rsidRPr="005146C7" w:rsidRDefault="0035364E" w:rsidP="001127A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</w:rPr>
      </w:pPr>
    </w:p>
    <w:p w14:paraId="657558F7" w14:textId="77777777" w:rsidR="00131992" w:rsidRPr="005146C7" w:rsidRDefault="00E268DC" w:rsidP="00946F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  <w:lang w:eastAsia="en-US"/>
        </w:rPr>
        <w:t>Survey</w:t>
      </w:r>
      <w:r w:rsidR="00131992" w:rsidRPr="005146C7">
        <w:rPr>
          <w:rFonts w:ascii="Arial" w:eastAsiaTheme="minorEastAsia" w:hAnsi="Arial" w:cs="Arial"/>
          <w:b w:val="0"/>
          <w:lang w:eastAsia="en-US"/>
        </w:rPr>
        <w:t xml:space="preserve"> the racial composition of the Trust board and staff and those of our providers to de</w:t>
      </w:r>
      <w:r w:rsidR="00FB7CF6" w:rsidRPr="005146C7">
        <w:rPr>
          <w:rFonts w:ascii="Arial" w:eastAsiaTheme="minorEastAsia" w:hAnsi="Arial" w:cs="Arial"/>
          <w:b w:val="0"/>
          <w:lang w:eastAsia="en-US"/>
        </w:rPr>
        <w:t xml:space="preserve">termine if representative of the </w:t>
      </w:r>
      <w:r w:rsidR="00131992" w:rsidRPr="005146C7">
        <w:rPr>
          <w:rFonts w:ascii="Arial" w:eastAsiaTheme="minorEastAsia" w:hAnsi="Arial" w:cs="Arial"/>
          <w:b w:val="0"/>
          <w:lang w:eastAsia="en-US"/>
        </w:rPr>
        <w:t>racial composition</w:t>
      </w:r>
      <w:r w:rsidR="00FB7CF6" w:rsidRPr="005146C7">
        <w:rPr>
          <w:rFonts w:ascii="Arial" w:eastAsiaTheme="minorEastAsia" w:hAnsi="Arial" w:cs="Arial"/>
          <w:b w:val="0"/>
          <w:lang w:eastAsia="en-US"/>
        </w:rPr>
        <w:t xml:space="preserve"> of our CoC clients</w:t>
      </w:r>
      <w:r w:rsidR="00131992" w:rsidRPr="005146C7">
        <w:rPr>
          <w:rFonts w:ascii="Arial" w:eastAsiaTheme="minorEastAsia" w:hAnsi="Arial" w:cs="Arial"/>
          <w:b w:val="0"/>
          <w:lang w:eastAsia="en-US"/>
        </w:rPr>
        <w:t>.</w:t>
      </w:r>
      <w:r w:rsidR="00B103F4" w:rsidRPr="005146C7">
        <w:rPr>
          <w:rFonts w:ascii="Arial" w:eastAsiaTheme="minorEastAsia" w:hAnsi="Arial" w:cs="Arial"/>
          <w:b w:val="0"/>
          <w:lang w:eastAsia="en-US"/>
        </w:rPr>
        <w:t xml:space="preserve"> </w:t>
      </w:r>
      <w:r w:rsidR="00B103F4" w:rsidRPr="00FA62F3">
        <w:rPr>
          <w:rFonts w:ascii="Arial" w:eastAsiaTheme="minorEastAsia" w:hAnsi="Arial" w:cs="Arial"/>
          <w:b w:val="0"/>
          <w:color w:val="FF0000"/>
          <w:lang w:eastAsia="en-US"/>
        </w:rPr>
        <w:t>The County Clerk annually reviews the racial c</w:t>
      </w:r>
      <w:r w:rsidR="00D1151E" w:rsidRPr="00FA62F3">
        <w:rPr>
          <w:rFonts w:ascii="Arial" w:eastAsiaTheme="minorEastAsia" w:hAnsi="Arial" w:cs="Arial"/>
          <w:b w:val="0"/>
          <w:color w:val="FF0000"/>
          <w:lang w:eastAsia="en-US"/>
        </w:rPr>
        <w:t>omposition of the Trust Board</w:t>
      </w:r>
      <w:r w:rsidR="00B103F4" w:rsidRPr="00FA62F3">
        <w:rPr>
          <w:rFonts w:ascii="Arial" w:eastAsiaTheme="minorEastAsia" w:hAnsi="Arial" w:cs="Arial"/>
          <w:b w:val="0"/>
          <w:color w:val="FF0000"/>
          <w:lang w:eastAsia="en-US"/>
        </w:rPr>
        <w:t>.</w:t>
      </w:r>
    </w:p>
    <w:p w14:paraId="61E2F9D5" w14:textId="77777777" w:rsidR="004352F4" w:rsidRPr="005146C7" w:rsidRDefault="004352F4" w:rsidP="004352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</w:rPr>
      </w:pPr>
    </w:p>
    <w:p w14:paraId="5B97551E" w14:textId="77777777" w:rsidR="004352F4" w:rsidRPr="005146C7" w:rsidRDefault="004352F4" w:rsidP="00946F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 xml:space="preserve">Hold listening sessions with </w:t>
      </w:r>
      <w:r w:rsidR="00C63556" w:rsidRPr="005146C7">
        <w:rPr>
          <w:rFonts w:ascii="Arial" w:eastAsiaTheme="minorEastAsia" w:hAnsi="Arial" w:cs="Arial"/>
          <w:b w:val="0"/>
        </w:rPr>
        <w:t xml:space="preserve">Black </w:t>
      </w:r>
      <w:r w:rsidRPr="005146C7">
        <w:rPr>
          <w:rFonts w:ascii="Arial" w:eastAsiaTheme="minorEastAsia" w:hAnsi="Arial" w:cs="Arial"/>
          <w:b w:val="0"/>
        </w:rPr>
        <w:t>persons with lived experience of homeless</w:t>
      </w:r>
      <w:r w:rsidR="00D1201C" w:rsidRPr="005146C7">
        <w:rPr>
          <w:rFonts w:ascii="Arial" w:eastAsiaTheme="minorEastAsia" w:hAnsi="Arial" w:cs="Arial"/>
          <w:b w:val="0"/>
        </w:rPr>
        <w:t>ness</w:t>
      </w:r>
      <w:r w:rsidR="0036644F" w:rsidRPr="005146C7">
        <w:rPr>
          <w:rFonts w:ascii="Arial" w:eastAsiaTheme="minorEastAsia" w:hAnsi="Arial" w:cs="Arial"/>
          <w:b w:val="0"/>
        </w:rPr>
        <w:t>.</w:t>
      </w:r>
    </w:p>
    <w:p w14:paraId="57A93996" w14:textId="77777777" w:rsidR="00BD3B34" w:rsidRPr="005146C7" w:rsidRDefault="00BD3B34" w:rsidP="00BD3B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</w:rPr>
      </w:pPr>
    </w:p>
    <w:p w14:paraId="12131998" w14:textId="77777777" w:rsidR="00923C19" w:rsidRPr="005146C7" w:rsidRDefault="00923C19" w:rsidP="00923C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 xml:space="preserve">Review CoC Standards, policies and procedures for racial bias and embed new language addressing equity. </w:t>
      </w:r>
      <w:r w:rsidRPr="005146C7">
        <w:rPr>
          <w:rFonts w:ascii="Arial" w:eastAsiaTheme="minorEastAsia" w:hAnsi="Arial" w:cs="Arial"/>
          <w:b w:val="0"/>
          <w:color w:val="FF0000"/>
        </w:rPr>
        <w:t>Embedded new language in revised Standards of Care</w:t>
      </w:r>
      <w:r w:rsidR="004A2FBA" w:rsidRPr="005146C7">
        <w:rPr>
          <w:rFonts w:ascii="Arial" w:eastAsiaTheme="minorEastAsia" w:hAnsi="Arial" w:cs="Arial"/>
          <w:b w:val="0"/>
          <w:color w:val="FF0000"/>
        </w:rPr>
        <w:t xml:space="preserve"> and policies and procedures governing coordinated entry.</w:t>
      </w:r>
      <w:r w:rsidR="004A2FBA" w:rsidRPr="005146C7">
        <w:rPr>
          <w:rFonts w:ascii="Arial" w:eastAsiaTheme="minorEastAsia" w:hAnsi="Arial" w:cs="Arial"/>
          <w:b w:val="0"/>
        </w:rPr>
        <w:t xml:space="preserve"> </w:t>
      </w:r>
    </w:p>
    <w:p w14:paraId="01C9977E" w14:textId="77777777" w:rsidR="00611276" w:rsidRPr="005146C7" w:rsidRDefault="00611276" w:rsidP="00C6201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</w:rPr>
      </w:pPr>
    </w:p>
    <w:p w14:paraId="2DC563E3" w14:textId="77777777" w:rsidR="00E70E6C" w:rsidRPr="005146C7" w:rsidRDefault="00DB217D" w:rsidP="009F74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</w:rPr>
      </w:pPr>
      <w:r w:rsidRPr="005146C7">
        <w:rPr>
          <w:rFonts w:ascii="Arial" w:eastAsiaTheme="minorEastAsia" w:hAnsi="Arial" w:cs="Arial"/>
          <w:b w:val="0"/>
        </w:rPr>
        <w:t>Facilitate</w:t>
      </w:r>
      <w:r w:rsidR="00611276" w:rsidRPr="005146C7">
        <w:rPr>
          <w:rFonts w:ascii="Arial" w:eastAsiaTheme="minorEastAsia" w:hAnsi="Arial" w:cs="Arial"/>
          <w:b w:val="0"/>
        </w:rPr>
        <w:t xml:space="preserve"> trainings on racial bias and equity.</w:t>
      </w:r>
    </w:p>
    <w:p w14:paraId="0895CE44" w14:textId="77777777" w:rsidR="00DB217D" w:rsidRPr="005146C7" w:rsidRDefault="00DB217D" w:rsidP="00DB217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  <w:color w:val="353535"/>
        </w:rPr>
      </w:pPr>
    </w:p>
    <w:p w14:paraId="7616C62A" w14:textId="77777777" w:rsidR="00DB217D" w:rsidRPr="005146C7" w:rsidRDefault="00DB217D" w:rsidP="00DB21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  <w:color w:val="353535"/>
        </w:rPr>
      </w:pPr>
      <w:r w:rsidRPr="005146C7">
        <w:rPr>
          <w:rFonts w:ascii="Arial" w:eastAsiaTheme="minorEastAsia" w:hAnsi="Arial" w:cs="Arial"/>
          <w:b w:val="0"/>
          <w:color w:val="353535"/>
        </w:rPr>
        <w:t>Work with providers and partners to identify underlying root causes of the disparate experience of homelessness and identify steps to eliminate race as a social determinate of homelessness</w:t>
      </w:r>
    </w:p>
    <w:p w14:paraId="62BD33B0" w14:textId="77777777" w:rsidR="009F7403" w:rsidRPr="005146C7" w:rsidRDefault="009F7403" w:rsidP="009F74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 w:val="0"/>
          <w:color w:val="353535"/>
        </w:rPr>
      </w:pPr>
    </w:p>
    <w:p w14:paraId="0F74DFA6" w14:textId="77777777" w:rsidR="00DB217D" w:rsidRPr="005146C7" w:rsidRDefault="00C6201D" w:rsidP="009B7B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eastAsiaTheme="minorEastAsia" w:hAnsi="Arial" w:cs="Arial"/>
          <w:b w:val="0"/>
          <w:color w:val="FF0000"/>
        </w:rPr>
      </w:pPr>
      <w:r w:rsidRPr="005146C7">
        <w:rPr>
          <w:rFonts w:ascii="Arial" w:eastAsiaTheme="minorEastAsia" w:hAnsi="Arial" w:cs="Arial"/>
          <w:b w:val="0"/>
          <w:color w:val="353535"/>
        </w:rPr>
        <w:t xml:space="preserve">Participate in </w:t>
      </w:r>
      <w:r w:rsidR="00E30A49" w:rsidRPr="005146C7">
        <w:rPr>
          <w:rFonts w:ascii="Arial" w:eastAsiaTheme="minorEastAsia" w:hAnsi="Arial" w:cs="Arial"/>
          <w:b w:val="0"/>
          <w:color w:val="353535"/>
        </w:rPr>
        <w:t xml:space="preserve">initiatives to end homelessness for youth of color and LGTBQ youth. </w:t>
      </w:r>
      <w:r w:rsidR="000A1C90" w:rsidRPr="005146C7">
        <w:rPr>
          <w:rFonts w:ascii="Arial" w:eastAsiaTheme="minorEastAsia" w:hAnsi="Arial" w:cs="Arial"/>
          <w:b w:val="0"/>
          <w:color w:val="FF0000"/>
        </w:rPr>
        <w:t xml:space="preserve">The </w:t>
      </w:r>
      <w:r w:rsidR="00DB217D" w:rsidRPr="005146C7">
        <w:rPr>
          <w:rFonts w:ascii="Arial" w:eastAsiaTheme="minorEastAsia" w:hAnsi="Arial" w:cs="Arial"/>
          <w:b w:val="0"/>
          <w:color w:val="FF0000"/>
        </w:rPr>
        <w:t xml:space="preserve">Trust </w:t>
      </w:r>
      <w:r w:rsidR="00B36EBE" w:rsidRPr="005146C7">
        <w:rPr>
          <w:rFonts w:ascii="Arial" w:eastAsiaTheme="minorEastAsia" w:hAnsi="Arial" w:cs="Arial"/>
          <w:b w:val="0"/>
          <w:color w:val="FF0000"/>
        </w:rPr>
        <w:t xml:space="preserve">is a member of the </w:t>
      </w:r>
      <w:r w:rsidR="00E94575" w:rsidRPr="005146C7">
        <w:rPr>
          <w:rFonts w:ascii="Arial" w:eastAsiaTheme="minorEastAsia" w:hAnsi="Arial" w:cs="Arial"/>
          <w:b w:val="0"/>
          <w:color w:val="FF0000"/>
        </w:rPr>
        <w:t xml:space="preserve">Helping Our </w:t>
      </w:r>
      <w:r w:rsidR="00BF332D" w:rsidRPr="005146C7">
        <w:rPr>
          <w:rFonts w:ascii="Arial" w:eastAsiaTheme="minorEastAsia" w:hAnsi="Arial" w:cs="Arial"/>
          <w:b w:val="0"/>
          <w:color w:val="FF0000"/>
        </w:rPr>
        <w:t xml:space="preserve">Miami-Dade Youth </w:t>
      </w:r>
      <w:r w:rsidR="000A1C90" w:rsidRPr="005146C7">
        <w:rPr>
          <w:rFonts w:ascii="Arial" w:eastAsiaTheme="minorEastAsia" w:hAnsi="Arial" w:cs="Arial"/>
          <w:b w:val="0"/>
          <w:color w:val="FF0000"/>
        </w:rPr>
        <w:t>(</w:t>
      </w:r>
      <w:r w:rsidR="00B36EBE" w:rsidRPr="005146C7">
        <w:rPr>
          <w:rFonts w:ascii="Arial" w:eastAsiaTheme="minorEastAsia" w:hAnsi="Arial" w:cs="Arial"/>
          <w:b w:val="0"/>
          <w:color w:val="FF0000"/>
        </w:rPr>
        <w:t>HOMY</w:t>
      </w:r>
      <w:r w:rsidR="00403A35" w:rsidRPr="005146C7">
        <w:rPr>
          <w:rFonts w:ascii="Arial" w:eastAsiaTheme="minorEastAsia" w:hAnsi="Arial" w:cs="Arial"/>
          <w:b w:val="0"/>
          <w:color w:val="FF0000"/>
        </w:rPr>
        <w:t>)</w:t>
      </w:r>
      <w:r w:rsidR="00E94575" w:rsidRPr="005146C7">
        <w:rPr>
          <w:rFonts w:ascii="Arial" w:eastAsiaTheme="minorEastAsia" w:hAnsi="Arial" w:cs="Arial"/>
          <w:b w:val="0"/>
          <w:color w:val="FF0000"/>
        </w:rPr>
        <w:t xml:space="preserve"> Collective</w:t>
      </w:r>
      <w:r w:rsidR="00403A35" w:rsidRPr="005146C7">
        <w:rPr>
          <w:rFonts w:ascii="Arial" w:eastAsiaTheme="minorEastAsia" w:hAnsi="Arial" w:cs="Arial"/>
          <w:b w:val="0"/>
          <w:color w:val="FF0000"/>
        </w:rPr>
        <w:t xml:space="preserve"> and</w:t>
      </w:r>
      <w:r w:rsidR="00B36EBE" w:rsidRPr="005146C7">
        <w:rPr>
          <w:rFonts w:ascii="Arial" w:eastAsiaTheme="minorEastAsia" w:hAnsi="Arial" w:cs="Arial"/>
          <w:b w:val="0"/>
          <w:color w:val="FF0000"/>
        </w:rPr>
        <w:t xml:space="preserve"> m</w:t>
      </w:r>
      <w:r w:rsidR="00DB217D" w:rsidRPr="005146C7">
        <w:rPr>
          <w:rFonts w:ascii="Arial" w:eastAsiaTheme="minorEastAsia" w:hAnsi="Arial" w:cs="Arial"/>
          <w:b w:val="0"/>
          <w:color w:val="FF0000"/>
        </w:rPr>
        <w:t xml:space="preserve">ember of </w:t>
      </w:r>
      <w:r w:rsidR="00B36EBE" w:rsidRPr="005146C7">
        <w:rPr>
          <w:rFonts w:ascii="Arial" w:eastAsiaTheme="minorEastAsia" w:hAnsi="Arial" w:cs="Arial"/>
          <w:b w:val="0"/>
          <w:color w:val="FF0000"/>
        </w:rPr>
        <w:t xml:space="preserve">the </w:t>
      </w:r>
      <w:r w:rsidR="00DB217D" w:rsidRPr="005146C7">
        <w:rPr>
          <w:rFonts w:ascii="Arial" w:eastAsiaTheme="minorEastAsia" w:hAnsi="Arial" w:cs="Arial"/>
          <w:b w:val="0"/>
          <w:color w:val="FF0000"/>
        </w:rPr>
        <w:t>HO</w:t>
      </w:r>
      <w:r w:rsidR="00B36EBE" w:rsidRPr="005146C7">
        <w:rPr>
          <w:rFonts w:ascii="Arial" w:eastAsiaTheme="minorEastAsia" w:hAnsi="Arial" w:cs="Arial"/>
          <w:b w:val="0"/>
          <w:color w:val="FF0000"/>
        </w:rPr>
        <w:t>MY Strategic Planning Committee.</w:t>
      </w:r>
      <w:r w:rsidR="000A1C90" w:rsidRPr="005146C7">
        <w:rPr>
          <w:rFonts w:ascii="Arial" w:eastAsiaTheme="minorEastAsia" w:hAnsi="Arial" w:cs="Arial"/>
          <w:b w:val="0"/>
          <w:color w:val="FF0000"/>
        </w:rPr>
        <w:t xml:space="preserve"> </w:t>
      </w:r>
      <w:r w:rsidR="00B36EBE" w:rsidRPr="005146C7">
        <w:rPr>
          <w:rFonts w:ascii="Arial" w:eastAsiaTheme="minorEastAsia" w:hAnsi="Arial" w:cs="Arial"/>
          <w:b w:val="0"/>
          <w:color w:val="FF0000"/>
        </w:rPr>
        <w:t>The Trust is represented on the Miami</w:t>
      </w:r>
      <w:r w:rsidR="006149EC" w:rsidRPr="005146C7">
        <w:rPr>
          <w:rFonts w:ascii="Arial" w:eastAsiaTheme="minorEastAsia" w:hAnsi="Arial" w:cs="Arial"/>
          <w:b w:val="0"/>
          <w:color w:val="FF0000"/>
        </w:rPr>
        <w:t xml:space="preserve">-Dade Cohort </w:t>
      </w:r>
      <w:r w:rsidR="00B36EBE" w:rsidRPr="005146C7">
        <w:rPr>
          <w:rFonts w:ascii="Arial" w:eastAsiaTheme="minorEastAsia" w:hAnsi="Arial" w:cs="Arial"/>
          <w:b w:val="0"/>
          <w:color w:val="FF0000"/>
        </w:rPr>
        <w:t xml:space="preserve">of the national </w:t>
      </w:r>
      <w:r w:rsidR="000A1C90" w:rsidRPr="005146C7">
        <w:rPr>
          <w:rFonts w:ascii="Arial" w:eastAsiaTheme="minorEastAsia" w:hAnsi="Arial" w:cs="Arial"/>
          <w:b w:val="0"/>
          <w:color w:val="FF0000"/>
        </w:rPr>
        <w:t xml:space="preserve">A </w:t>
      </w:r>
      <w:r w:rsidR="00DB217D" w:rsidRPr="005146C7">
        <w:rPr>
          <w:rFonts w:ascii="Arial" w:eastAsiaTheme="minorEastAsia" w:hAnsi="Arial" w:cs="Arial"/>
          <w:b w:val="0"/>
          <w:color w:val="FF0000"/>
        </w:rPr>
        <w:t>Way</w:t>
      </w:r>
      <w:r w:rsidR="006149EC" w:rsidRPr="005146C7">
        <w:rPr>
          <w:rFonts w:ascii="Arial" w:eastAsiaTheme="minorEastAsia" w:hAnsi="Arial" w:cs="Arial"/>
          <w:b w:val="0"/>
          <w:color w:val="FF0000"/>
        </w:rPr>
        <w:t xml:space="preserve"> Home American Grand Challenge</w:t>
      </w:r>
      <w:r w:rsidR="00F01FAB" w:rsidRPr="005146C7">
        <w:rPr>
          <w:rFonts w:ascii="Arial" w:eastAsiaTheme="minorEastAsia" w:hAnsi="Arial" w:cs="Arial"/>
          <w:b w:val="0"/>
          <w:color w:val="FF0000"/>
        </w:rPr>
        <w:t xml:space="preserve"> to End Youth Homelessness</w:t>
      </w:r>
      <w:r w:rsidR="00B36EBE" w:rsidRPr="005146C7">
        <w:rPr>
          <w:rFonts w:ascii="Arial" w:eastAsiaTheme="minorEastAsia" w:hAnsi="Arial" w:cs="Arial"/>
          <w:b w:val="0"/>
          <w:color w:val="FF0000"/>
        </w:rPr>
        <w:t>.</w:t>
      </w:r>
    </w:p>
    <w:sectPr w:rsidR="00DB217D" w:rsidRPr="005146C7" w:rsidSect="009B7BDA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C6853"/>
    <w:multiLevelType w:val="hybridMultilevel"/>
    <w:tmpl w:val="FE083844"/>
    <w:lvl w:ilvl="0" w:tplc="DFE622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C6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71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FB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A6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20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F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94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6F7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6CC"/>
    <w:multiLevelType w:val="multilevel"/>
    <w:tmpl w:val="4B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F077F"/>
    <w:multiLevelType w:val="hybridMultilevel"/>
    <w:tmpl w:val="A36E3BEA"/>
    <w:lvl w:ilvl="0" w:tplc="D85E30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8559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829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8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80A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0E3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669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C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63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02C"/>
    <w:multiLevelType w:val="hybridMultilevel"/>
    <w:tmpl w:val="FDFEB566"/>
    <w:lvl w:ilvl="0" w:tplc="88A234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DA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475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A48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257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804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446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47B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0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73C5"/>
    <w:multiLevelType w:val="hybridMultilevel"/>
    <w:tmpl w:val="3F786184"/>
    <w:lvl w:ilvl="0" w:tplc="7D269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9C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4F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69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2F1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A7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865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EEC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0189"/>
    <w:multiLevelType w:val="hybridMultilevel"/>
    <w:tmpl w:val="24B6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4169"/>
    <w:multiLevelType w:val="hybridMultilevel"/>
    <w:tmpl w:val="1AFED568"/>
    <w:lvl w:ilvl="0" w:tplc="919CA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A33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A28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AF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CDC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632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D5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E4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E20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72B77"/>
    <w:multiLevelType w:val="hybridMultilevel"/>
    <w:tmpl w:val="842AA27E"/>
    <w:lvl w:ilvl="0" w:tplc="4A5C1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EE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475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CE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A0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ED3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B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C44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A5D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D1DE8"/>
    <w:multiLevelType w:val="multilevel"/>
    <w:tmpl w:val="EA50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1586C"/>
    <w:multiLevelType w:val="hybridMultilevel"/>
    <w:tmpl w:val="C7161A6A"/>
    <w:lvl w:ilvl="0" w:tplc="C4183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1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B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48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61E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E58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2F5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A5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036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8B6"/>
    <w:rsid w:val="00011E0B"/>
    <w:rsid w:val="00020566"/>
    <w:rsid w:val="00047612"/>
    <w:rsid w:val="000514BF"/>
    <w:rsid w:val="000801B6"/>
    <w:rsid w:val="000A1C90"/>
    <w:rsid w:val="000A5B08"/>
    <w:rsid w:val="000B6485"/>
    <w:rsid w:val="000B7B97"/>
    <w:rsid w:val="000C5236"/>
    <w:rsid w:val="000C566F"/>
    <w:rsid w:val="000D0D71"/>
    <w:rsid w:val="000E4E86"/>
    <w:rsid w:val="000F0753"/>
    <w:rsid w:val="000F514E"/>
    <w:rsid w:val="001127AB"/>
    <w:rsid w:val="00112D9B"/>
    <w:rsid w:val="00116990"/>
    <w:rsid w:val="0012451B"/>
    <w:rsid w:val="00131992"/>
    <w:rsid w:val="00136748"/>
    <w:rsid w:val="001638A9"/>
    <w:rsid w:val="0019461E"/>
    <w:rsid w:val="001A5C93"/>
    <w:rsid w:val="001A6885"/>
    <w:rsid w:val="001B4286"/>
    <w:rsid w:val="001C3ED0"/>
    <w:rsid w:val="002151DE"/>
    <w:rsid w:val="002758B6"/>
    <w:rsid w:val="00287040"/>
    <w:rsid w:val="00322E49"/>
    <w:rsid w:val="0035364E"/>
    <w:rsid w:val="0036644F"/>
    <w:rsid w:val="00376488"/>
    <w:rsid w:val="003829BC"/>
    <w:rsid w:val="003A1FA2"/>
    <w:rsid w:val="003B487B"/>
    <w:rsid w:val="00403A35"/>
    <w:rsid w:val="00410860"/>
    <w:rsid w:val="004352F4"/>
    <w:rsid w:val="00435CD1"/>
    <w:rsid w:val="00444D56"/>
    <w:rsid w:val="0044654D"/>
    <w:rsid w:val="004A2FBA"/>
    <w:rsid w:val="004B0759"/>
    <w:rsid w:val="004D7DEF"/>
    <w:rsid w:val="00510C5F"/>
    <w:rsid w:val="005146C7"/>
    <w:rsid w:val="00553D27"/>
    <w:rsid w:val="005A2836"/>
    <w:rsid w:val="005D79B3"/>
    <w:rsid w:val="005E39B4"/>
    <w:rsid w:val="006001EF"/>
    <w:rsid w:val="00611276"/>
    <w:rsid w:val="006149EC"/>
    <w:rsid w:val="006508B1"/>
    <w:rsid w:val="006B3605"/>
    <w:rsid w:val="00702065"/>
    <w:rsid w:val="00713501"/>
    <w:rsid w:val="007166FE"/>
    <w:rsid w:val="00753E7E"/>
    <w:rsid w:val="0078139D"/>
    <w:rsid w:val="007955B6"/>
    <w:rsid w:val="007C7673"/>
    <w:rsid w:val="007D43B4"/>
    <w:rsid w:val="007E4E8A"/>
    <w:rsid w:val="007F39D7"/>
    <w:rsid w:val="007F6075"/>
    <w:rsid w:val="00811395"/>
    <w:rsid w:val="008813C2"/>
    <w:rsid w:val="008A113D"/>
    <w:rsid w:val="008B3C95"/>
    <w:rsid w:val="008C533F"/>
    <w:rsid w:val="008E70D5"/>
    <w:rsid w:val="009112A8"/>
    <w:rsid w:val="00923C19"/>
    <w:rsid w:val="009261EB"/>
    <w:rsid w:val="00934F09"/>
    <w:rsid w:val="00946FC0"/>
    <w:rsid w:val="009534BD"/>
    <w:rsid w:val="009651EB"/>
    <w:rsid w:val="00972019"/>
    <w:rsid w:val="00981973"/>
    <w:rsid w:val="009928FE"/>
    <w:rsid w:val="00994379"/>
    <w:rsid w:val="009B2628"/>
    <w:rsid w:val="009B7BDA"/>
    <w:rsid w:val="009F7403"/>
    <w:rsid w:val="00A01736"/>
    <w:rsid w:val="00A031B7"/>
    <w:rsid w:val="00A110B3"/>
    <w:rsid w:val="00AD13D9"/>
    <w:rsid w:val="00AF17B8"/>
    <w:rsid w:val="00B103F4"/>
    <w:rsid w:val="00B3650A"/>
    <w:rsid w:val="00B36EBE"/>
    <w:rsid w:val="00B72C2F"/>
    <w:rsid w:val="00BD3B34"/>
    <w:rsid w:val="00BF332D"/>
    <w:rsid w:val="00C05A4B"/>
    <w:rsid w:val="00C14E93"/>
    <w:rsid w:val="00C51D51"/>
    <w:rsid w:val="00C6201D"/>
    <w:rsid w:val="00C63556"/>
    <w:rsid w:val="00CA468F"/>
    <w:rsid w:val="00CA5BA1"/>
    <w:rsid w:val="00CB1614"/>
    <w:rsid w:val="00CB1AA0"/>
    <w:rsid w:val="00CB2D42"/>
    <w:rsid w:val="00CB48E4"/>
    <w:rsid w:val="00CD12C8"/>
    <w:rsid w:val="00D1151E"/>
    <w:rsid w:val="00D1201C"/>
    <w:rsid w:val="00D97713"/>
    <w:rsid w:val="00DB217D"/>
    <w:rsid w:val="00DF71E5"/>
    <w:rsid w:val="00E10700"/>
    <w:rsid w:val="00E268DC"/>
    <w:rsid w:val="00E30A49"/>
    <w:rsid w:val="00E47632"/>
    <w:rsid w:val="00E518A5"/>
    <w:rsid w:val="00E70E6C"/>
    <w:rsid w:val="00E7434A"/>
    <w:rsid w:val="00E94575"/>
    <w:rsid w:val="00E97F75"/>
    <w:rsid w:val="00EB5B80"/>
    <w:rsid w:val="00EC39F4"/>
    <w:rsid w:val="00EC6991"/>
    <w:rsid w:val="00EE0E96"/>
    <w:rsid w:val="00F01FAB"/>
    <w:rsid w:val="00F06B75"/>
    <w:rsid w:val="00F21346"/>
    <w:rsid w:val="00F36A20"/>
    <w:rsid w:val="00F50FC8"/>
    <w:rsid w:val="00F66792"/>
    <w:rsid w:val="00F85AFD"/>
    <w:rsid w:val="00F96997"/>
    <w:rsid w:val="00FA62F3"/>
    <w:rsid w:val="00FB0CE0"/>
    <w:rsid w:val="00FB7CF6"/>
    <w:rsid w:val="00FC5257"/>
    <w:rsid w:val="00FC5A21"/>
    <w:rsid w:val="00FE6E3B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E3F12"/>
  <w14:defaultImageDpi w14:val="300"/>
  <w15:docId w15:val="{D64E6E64-5826-4095-BAB6-57FC156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533F"/>
    <w:pPr>
      <w:spacing w:before="100" w:beforeAutospacing="1" w:after="100" w:afterAutospacing="1"/>
    </w:pPr>
    <w:rPr>
      <w:rFonts w:eastAsiaTheme="minorEastAsia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C533F"/>
  </w:style>
  <w:style w:type="character" w:styleId="Hyperlink">
    <w:name w:val="Hyperlink"/>
    <w:basedOn w:val="DefaultParagraphFont"/>
    <w:uiPriority w:val="99"/>
    <w:semiHidden/>
    <w:unhideWhenUsed/>
    <w:rsid w:val="008C53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48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6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9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1A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lesstrust.org/resources-homeless/library/racial-disparity-highligh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Apfel</dc:creator>
  <cp:keywords/>
  <dc:description/>
  <cp:lastModifiedBy>Sarria, Manuel (HT)</cp:lastModifiedBy>
  <cp:revision>2</cp:revision>
  <dcterms:created xsi:type="dcterms:W3CDTF">2021-05-26T19:33:00Z</dcterms:created>
  <dcterms:modified xsi:type="dcterms:W3CDTF">2021-05-26T19:33:00Z</dcterms:modified>
</cp:coreProperties>
</file>